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C" w:rsidRPr="0061100C" w:rsidRDefault="00031BEC" w:rsidP="00031BEC">
      <w:pPr>
        <w:pStyle w:val="NormalWeb"/>
        <w:spacing w:line="360" w:lineRule="auto"/>
        <w:ind w:firstLine="644"/>
        <w:jc w:val="both"/>
        <w:rPr>
          <w:b/>
          <w:color w:val="000000" w:themeColor="text1"/>
          <w:u w:val="single"/>
          <w:lang w:val="es-ES"/>
        </w:rPr>
      </w:pPr>
      <w:r w:rsidRPr="0061100C">
        <w:rPr>
          <w:b/>
          <w:color w:val="000000" w:themeColor="text1"/>
          <w:u w:val="single"/>
          <w:lang w:val="es-ES"/>
        </w:rPr>
        <w:t>Tasa de inflación mensual por ciudad (%)</w:t>
      </w:r>
    </w:p>
    <w:tbl>
      <w:tblPr>
        <w:tblpPr w:leftFromText="141" w:rightFromText="141" w:bottomFromText="160" w:vertAnchor="text" w:horzAnchor="margin" w:tblpY="84"/>
        <w:tblW w:w="9395" w:type="dxa"/>
        <w:tblCellMar>
          <w:left w:w="70" w:type="dxa"/>
          <w:right w:w="70" w:type="dxa"/>
        </w:tblCellMar>
        <w:tblLook w:val="04A0"/>
      </w:tblPr>
      <w:tblGrid>
        <w:gridCol w:w="1753"/>
        <w:gridCol w:w="1401"/>
        <w:gridCol w:w="1649"/>
        <w:gridCol w:w="1650"/>
        <w:gridCol w:w="1434"/>
        <w:gridCol w:w="1508"/>
      </w:tblGrid>
      <w:tr w:rsidR="00031BEC" w:rsidRPr="0061100C" w:rsidTr="007C3D57">
        <w:trPr>
          <w:trHeight w:val="426"/>
        </w:trPr>
        <w:tc>
          <w:tcPr>
            <w:tcW w:w="1753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031BEC" w:rsidRPr="0061100C" w:rsidRDefault="00031BEC" w:rsidP="007C3D57">
            <w:pPr>
              <w:spacing w:after="0" w:line="256" w:lineRule="auto"/>
              <w:rPr>
                <w:rFonts w:eastAsia="SimSun"/>
                <w:kern w:val="2"/>
                <w:szCs w:val="24"/>
                <w:lang w:eastAsia="zh-CN"/>
              </w:rPr>
            </w:pPr>
          </w:p>
        </w:tc>
        <w:tc>
          <w:tcPr>
            <w:tcW w:w="14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Malabo</w:t>
            </w:r>
          </w:p>
        </w:tc>
        <w:tc>
          <w:tcPr>
            <w:tcW w:w="16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Bata</w:t>
            </w:r>
          </w:p>
        </w:tc>
        <w:tc>
          <w:tcPr>
            <w:tcW w:w="16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proofErr w:type="spellStart"/>
            <w:r w:rsidRPr="0061100C">
              <w:rPr>
                <w:b/>
                <w:bCs/>
                <w:kern w:val="2"/>
                <w:szCs w:val="24"/>
              </w:rPr>
              <w:t>Ebibeyin</w:t>
            </w:r>
            <w:proofErr w:type="spellEnd"/>
          </w:p>
        </w:tc>
        <w:tc>
          <w:tcPr>
            <w:tcW w:w="14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proofErr w:type="spellStart"/>
            <w:r w:rsidRPr="0061100C">
              <w:rPr>
                <w:b/>
                <w:bCs/>
                <w:kern w:val="2"/>
                <w:szCs w:val="24"/>
              </w:rPr>
              <w:t>Evinayong</w:t>
            </w:r>
            <w:proofErr w:type="spellEnd"/>
          </w:p>
        </w:tc>
        <w:tc>
          <w:tcPr>
            <w:tcW w:w="15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proofErr w:type="spellStart"/>
            <w:r w:rsidRPr="0061100C">
              <w:rPr>
                <w:b/>
                <w:bCs/>
                <w:kern w:val="2"/>
                <w:szCs w:val="24"/>
              </w:rPr>
              <w:t>Mongomo</w:t>
            </w:r>
            <w:proofErr w:type="spellEnd"/>
          </w:p>
        </w:tc>
      </w:tr>
      <w:tr w:rsidR="00031BEC" w:rsidRPr="0061100C" w:rsidTr="007C3D57">
        <w:trPr>
          <w:trHeight w:val="405"/>
        </w:trPr>
        <w:tc>
          <w:tcPr>
            <w:tcW w:w="17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Enero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1,6</w:t>
            </w:r>
          </w:p>
        </w:tc>
        <w:tc>
          <w:tcPr>
            <w:tcW w:w="1649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-0,5</w:t>
            </w:r>
          </w:p>
        </w:tc>
        <w:tc>
          <w:tcPr>
            <w:tcW w:w="1650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-0,7</w:t>
            </w:r>
          </w:p>
        </w:tc>
        <w:tc>
          <w:tcPr>
            <w:tcW w:w="143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0,3</w:t>
            </w:r>
          </w:p>
        </w:tc>
        <w:tc>
          <w:tcPr>
            <w:tcW w:w="150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-1,9</w:t>
            </w:r>
          </w:p>
        </w:tc>
      </w:tr>
      <w:tr w:rsidR="00031BEC" w:rsidRPr="0061100C" w:rsidTr="007C3D57">
        <w:trPr>
          <w:trHeight w:val="405"/>
        </w:trPr>
        <w:tc>
          <w:tcPr>
            <w:tcW w:w="17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Febrero</w:t>
            </w:r>
          </w:p>
        </w:tc>
        <w:tc>
          <w:tcPr>
            <w:tcW w:w="1401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1,8</w:t>
            </w:r>
          </w:p>
        </w:tc>
        <w:tc>
          <w:tcPr>
            <w:tcW w:w="1649" w:type="dxa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0,1</w:t>
            </w:r>
          </w:p>
        </w:tc>
        <w:tc>
          <w:tcPr>
            <w:tcW w:w="1650" w:type="dxa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-0,3</w:t>
            </w:r>
          </w:p>
        </w:tc>
        <w:tc>
          <w:tcPr>
            <w:tcW w:w="1434" w:type="dxa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0,5</w:t>
            </w:r>
          </w:p>
        </w:tc>
        <w:tc>
          <w:tcPr>
            <w:tcW w:w="1508" w:type="dxa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-1,8</w:t>
            </w:r>
          </w:p>
        </w:tc>
      </w:tr>
      <w:tr w:rsidR="00031BEC" w:rsidRPr="0061100C" w:rsidTr="007C3D57">
        <w:trPr>
          <w:trHeight w:val="426"/>
        </w:trPr>
        <w:tc>
          <w:tcPr>
            <w:tcW w:w="17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Marzo</w:t>
            </w:r>
          </w:p>
        </w:tc>
        <w:tc>
          <w:tcPr>
            <w:tcW w:w="1401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2,1</w:t>
            </w:r>
          </w:p>
        </w:tc>
        <w:tc>
          <w:tcPr>
            <w:tcW w:w="1649" w:type="dxa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0,8</w:t>
            </w:r>
          </w:p>
        </w:tc>
        <w:tc>
          <w:tcPr>
            <w:tcW w:w="1650" w:type="dxa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0,1</w:t>
            </w:r>
          </w:p>
        </w:tc>
        <w:tc>
          <w:tcPr>
            <w:tcW w:w="1434" w:type="dxa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0,6</w:t>
            </w:r>
          </w:p>
        </w:tc>
        <w:tc>
          <w:tcPr>
            <w:tcW w:w="1508" w:type="dxa"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Cs/>
                <w:kern w:val="2"/>
                <w:szCs w:val="24"/>
              </w:rPr>
            </w:pPr>
            <w:r w:rsidRPr="0061100C">
              <w:rPr>
                <w:bCs/>
                <w:kern w:val="2"/>
                <w:szCs w:val="24"/>
              </w:rPr>
              <w:t>-1,4</w:t>
            </w:r>
          </w:p>
        </w:tc>
      </w:tr>
      <w:tr w:rsidR="00031BEC" w:rsidRPr="0061100C" w:rsidTr="007C3D57">
        <w:trPr>
          <w:trHeight w:val="426"/>
        </w:trPr>
        <w:tc>
          <w:tcPr>
            <w:tcW w:w="17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Media</w:t>
            </w:r>
          </w:p>
        </w:tc>
        <w:tc>
          <w:tcPr>
            <w:tcW w:w="140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1,8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-0,3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0,5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031BEC" w:rsidRPr="0061100C" w:rsidRDefault="00031BEC" w:rsidP="007C3D57">
            <w:pPr>
              <w:spacing w:after="0" w:line="240" w:lineRule="auto"/>
              <w:jc w:val="center"/>
              <w:rPr>
                <w:b/>
                <w:bCs/>
                <w:kern w:val="2"/>
                <w:szCs w:val="24"/>
              </w:rPr>
            </w:pPr>
            <w:r w:rsidRPr="0061100C">
              <w:rPr>
                <w:b/>
                <w:bCs/>
                <w:kern w:val="2"/>
                <w:szCs w:val="24"/>
              </w:rPr>
              <w:t>-1,7</w:t>
            </w:r>
          </w:p>
        </w:tc>
      </w:tr>
    </w:tbl>
    <w:p w:rsidR="00031BEC" w:rsidRPr="0061100C" w:rsidRDefault="00031BEC" w:rsidP="00031BEC">
      <w:pPr>
        <w:tabs>
          <w:tab w:val="left" w:pos="5850"/>
        </w:tabs>
        <w:spacing w:line="360" w:lineRule="auto"/>
        <w:rPr>
          <w:szCs w:val="24"/>
        </w:rPr>
      </w:pPr>
      <w:r w:rsidRPr="0061100C">
        <w:rPr>
          <w:szCs w:val="24"/>
        </w:rPr>
        <w:t xml:space="preserve">La ciudad con mayor tasa media anual de inflación durante el primer trimestre es Malabo </w:t>
      </w:r>
      <w:r w:rsidRPr="0061100C">
        <w:rPr>
          <w:b/>
          <w:szCs w:val="24"/>
        </w:rPr>
        <w:t>1,8%</w:t>
      </w:r>
      <w:r w:rsidRPr="0061100C">
        <w:rPr>
          <w:szCs w:val="24"/>
        </w:rPr>
        <w:t>este resultado se debe a las contribuciones positivas de los grupos: “Productos alimenticios y bebidas no alcohólicas” (1,0%); “Transportes” (0,4%); “Restaurantes y hoteles” (0,2%); “Muebles, equipos de hogar y mantenimiento corriente del hogar”; “Salud” y “Bebidas alcohólicas, tabaco y estupefacientes”, con 0,1% cada uno.</w:t>
      </w:r>
    </w:p>
    <w:p w:rsidR="00031BEC" w:rsidRPr="0061100C" w:rsidRDefault="00031BEC" w:rsidP="00031BEC">
      <w:pPr>
        <w:tabs>
          <w:tab w:val="left" w:pos="5850"/>
        </w:tabs>
        <w:spacing w:line="360" w:lineRule="auto"/>
        <w:rPr>
          <w:szCs w:val="24"/>
        </w:rPr>
      </w:pPr>
      <w:r w:rsidRPr="0061100C">
        <w:rPr>
          <w:szCs w:val="24"/>
        </w:rPr>
        <w:t xml:space="preserve">En segundo lugar, se encuentra la ciudad de </w:t>
      </w:r>
      <w:proofErr w:type="spellStart"/>
      <w:r w:rsidRPr="0061100C">
        <w:rPr>
          <w:szCs w:val="24"/>
        </w:rPr>
        <w:t>Evinayong</w:t>
      </w:r>
      <w:proofErr w:type="spellEnd"/>
      <w:r w:rsidRPr="0061100C">
        <w:rPr>
          <w:szCs w:val="24"/>
        </w:rPr>
        <w:t xml:space="preserve">, con una tasa media anual de inflación de </w:t>
      </w:r>
      <w:r w:rsidRPr="0061100C">
        <w:rPr>
          <w:b/>
          <w:szCs w:val="24"/>
        </w:rPr>
        <w:t>0,5%</w:t>
      </w:r>
      <w:r w:rsidRPr="0061100C">
        <w:rPr>
          <w:szCs w:val="24"/>
        </w:rPr>
        <w:t>; resultado que se explica por las contribuciones positivas de los grupos: “Viviendas, agua, electricidad, gas y otros combustibles” (0,2%); “Muebles, equipos de hogar y mantenimiento corriente del hogar”; “Salud”; “Bebidas alcohólicas, tabaco y estupefacientes” y “Educación”, con 0,1% cada uno.</w:t>
      </w:r>
    </w:p>
    <w:p w:rsidR="00031BEC" w:rsidRPr="0061100C" w:rsidRDefault="00031BEC" w:rsidP="00031BEC">
      <w:pPr>
        <w:tabs>
          <w:tab w:val="left" w:pos="5850"/>
        </w:tabs>
        <w:spacing w:line="360" w:lineRule="auto"/>
        <w:rPr>
          <w:szCs w:val="24"/>
        </w:rPr>
      </w:pPr>
      <w:r w:rsidRPr="0061100C">
        <w:rPr>
          <w:szCs w:val="24"/>
        </w:rPr>
        <w:t xml:space="preserve">En tercera posición, se encuentra la ciudad de Bata, con una tasa media anual de inflación de </w:t>
      </w:r>
      <w:r w:rsidRPr="0061100C">
        <w:rPr>
          <w:b/>
          <w:szCs w:val="24"/>
        </w:rPr>
        <w:t>0,2%</w:t>
      </w:r>
      <w:r w:rsidRPr="0061100C">
        <w:rPr>
          <w:szCs w:val="24"/>
        </w:rPr>
        <w:t>, resultando de las contribuciones positivas de los grupos: “Transportes” (0,5%); “Restaurantes y hoteles”; “Educación” y “Espaciamiento, espectáculos y cultura”, con 0,1% cada uno. Amortiguado por el grupo de producto   “Productos alimenticios y bebidas no alcohólicas” (0,4%); “Viviendas, agua, electricidad, gas y otros combustibles”; “Muebles, equipos de hogar y mantenimiento corriente del hogar” y “Bebidas alcohólicas, tabacos y estupefacientes”, con -0,1% cada uno.</w:t>
      </w:r>
    </w:p>
    <w:p w:rsidR="00031BEC" w:rsidRPr="0061100C" w:rsidRDefault="00031BEC" w:rsidP="00031BEC">
      <w:pPr>
        <w:tabs>
          <w:tab w:val="left" w:pos="5850"/>
        </w:tabs>
        <w:spacing w:line="360" w:lineRule="auto"/>
        <w:rPr>
          <w:szCs w:val="24"/>
        </w:rPr>
      </w:pPr>
      <w:r w:rsidRPr="0061100C">
        <w:rPr>
          <w:szCs w:val="24"/>
        </w:rPr>
        <w:t xml:space="preserve">En cuarta posición, se encuentra la ciudad de </w:t>
      </w:r>
      <w:proofErr w:type="spellStart"/>
      <w:r w:rsidRPr="0061100C">
        <w:rPr>
          <w:szCs w:val="24"/>
        </w:rPr>
        <w:t>Ebebiyin</w:t>
      </w:r>
      <w:proofErr w:type="spellEnd"/>
      <w:r w:rsidRPr="0061100C">
        <w:rPr>
          <w:szCs w:val="24"/>
        </w:rPr>
        <w:t xml:space="preserve">, con una tasa media anual de inflación de </w:t>
      </w:r>
      <w:r w:rsidRPr="0061100C">
        <w:rPr>
          <w:b/>
          <w:szCs w:val="24"/>
        </w:rPr>
        <w:t>-0,3%</w:t>
      </w:r>
      <w:r w:rsidRPr="0061100C">
        <w:rPr>
          <w:szCs w:val="24"/>
        </w:rPr>
        <w:t>; resultado que se debe a las contribuciones negativas de los grupos: “Productos alimenticios y bebidas no alcohólicas” (-0,5%) y; “Bebidas alcohólicas, tabaco y estupefacientes” (-0,3%).</w:t>
      </w:r>
    </w:p>
    <w:p w:rsidR="00031BEC" w:rsidRPr="0061100C" w:rsidRDefault="00031BEC" w:rsidP="00031BEC">
      <w:pPr>
        <w:tabs>
          <w:tab w:val="left" w:pos="5850"/>
        </w:tabs>
        <w:spacing w:line="360" w:lineRule="auto"/>
        <w:rPr>
          <w:szCs w:val="24"/>
        </w:rPr>
      </w:pPr>
      <w:r w:rsidRPr="0061100C">
        <w:rPr>
          <w:szCs w:val="24"/>
        </w:rPr>
        <w:t xml:space="preserve">En la última posición, se encuentra la ciudad de </w:t>
      </w:r>
      <w:proofErr w:type="spellStart"/>
      <w:r w:rsidRPr="0061100C">
        <w:rPr>
          <w:szCs w:val="24"/>
        </w:rPr>
        <w:t>Mongomo</w:t>
      </w:r>
      <w:proofErr w:type="spellEnd"/>
      <w:r w:rsidRPr="0061100C">
        <w:rPr>
          <w:szCs w:val="24"/>
        </w:rPr>
        <w:t xml:space="preserve">, con una tasa media anual de inflación de </w:t>
      </w:r>
      <w:r w:rsidRPr="0061100C">
        <w:rPr>
          <w:b/>
          <w:szCs w:val="24"/>
        </w:rPr>
        <w:t>-1,7%</w:t>
      </w:r>
      <w:r w:rsidRPr="0061100C">
        <w:rPr>
          <w:szCs w:val="24"/>
        </w:rPr>
        <w:t xml:space="preserve">; que se debe a la contribución negativa del grupo “Productos alimenticios y bebidas no alcohólicas” (-2,6%). </w:t>
      </w:r>
    </w:p>
    <w:p w:rsidR="00031BEC" w:rsidRPr="0061100C" w:rsidRDefault="00031BEC" w:rsidP="00031BEC">
      <w:pPr>
        <w:pStyle w:val="Epgrafe"/>
        <w:ind w:left="567"/>
        <w:jc w:val="both"/>
        <w:rPr>
          <w:b/>
          <w:i w:val="0"/>
          <w:sz w:val="24"/>
          <w:szCs w:val="24"/>
        </w:rPr>
      </w:pPr>
      <w:r w:rsidRPr="0061100C">
        <w:rPr>
          <w:b/>
          <w:i w:val="0"/>
          <w:sz w:val="24"/>
          <w:szCs w:val="24"/>
        </w:rPr>
        <w:lastRenderedPageBreak/>
        <w:t>Gráfico: Tasa media anual de inflación por ciudad durante el cuarto trimestre de 2021 en comparación con el mismo trimestre del año anterior (%).</w:t>
      </w:r>
    </w:p>
    <w:p w:rsidR="00031BEC" w:rsidRPr="0061100C" w:rsidRDefault="00031BEC" w:rsidP="00031BEC">
      <w:pPr>
        <w:tabs>
          <w:tab w:val="left" w:pos="709"/>
        </w:tabs>
        <w:spacing w:after="0" w:line="240" w:lineRule="auto"/>
        <w:ind w:firstLine="567"/>
        <w:rPr>
          <w:b/>
          <w:iCs/>
          <w:noProof/>
          <w:color w:val="1F497D" w:themeColor="text2"/>
          <w:szCs w:val="24"/>
        </w:rPr>
      </w:pPr>
      <w:r w:rsidRPr="0061100C">
        <w:rPr>
          <w:noProof/>
          <w:szCs w:val="24"/>
          <w:bdr w:val="thinThickSmallGap" w:sz="24" w:space="0" w:color="auto" w:frame="1"/>
        </w:rPr>
        <w:drawing>
          <wp:inline distT="0" distB="0" distL="0" distR="0">
            <wp:extent cx="5800725" cy="2209800"/>
            <wp:effectExtent l="0" t="0" r="0" b="0"/>
            <wp:docPr id="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1BEC" w:rsidRPr="0061100C" w:rsidRDefault="00031BEC" w:rsidP="00031BEC">
      <w:pPr>
        <w:tabs>
          <w:tab w:val="left" w:pos="5850"/>
        </w:tabs>
        <w:spacing w:line="360" w:lineRule="auto"/>
        <w:rPr>
          <w:szCs w:val="24"/>
        </w:rPr>
      </w:pPr>
    </w:p>
    <w:p w:rsidR="00031BEC" w:rsidRPr="001F3388" w:rsidRDefault="00031BEC" w:rsidP="00031BEC">
      <w:pPr>
        <w:tabs>
          <w:tab w:val="left" w:pos="5850"/>
        </w:tabs>
        <w:spacing w:line="360" w:lineRule="auto"/>
        <w:rPr>
          <w:szCs w:val="24"/>
        </w:rPr>
      </w:pPr>
      <w:r w:rsidRPr="0061100C">
        <w:rPr>
          <w:szCs w:val="24"/>
        </w:rPr>
        <w:t xml:space="preserve">De manera general, se puede </w:t>
      </w:r>
      <w:proofErr w:type="spellStart"/>
      <w:r w:rsidRPr="0061100C">
        <w:rPr>
          <w:szCs w:val="24"/>
        </w:rPr>
        <w:t>observardel</w:t>
      </w:r>
      <w:proofErr w:type="spellEnd"/>
      <w:r w:rsidRPr="0061100C">
        <w:rPr>
          <w:szCs w:val="24"/>
        </w:rPr>
        <w:t xml:space="preserve"> gráfico anterior que el primer trimestre del 2022, ha sido marcado por </w:t>
      </w:r>
      <w:proofErr w:type="spellStart"/>
      <w:r w:rsidRPr="0061100C">
        <w:rPr>
          <w:szCs w:val="24"/>
        </w:rPr>
        <w:t>unasubidamoderada</w:t>
      </w:r>
      <w:proofErr w:type="spellEnd"/>
      <w:r w:rsidRPr="0061100C">
        <w:rPr>
          <w:szCs w:val="24"/>
        </w:rPr>
        <w:t xml:space="preserve"> del nivel de precios en casi todas las ciudades, en comparación con el mismo periodo del año anterior; por su parte, las ciudades de </w:t>
      </w:r>
      <w:proofErr w:type="spellStart"/>
      <w:r w:rsidRPr="0061100C">
        <w:rPr>
          <w:szCs w:val="24"/>
        </w:rPr>
        <w:t>Ebibeyin</w:t>
      </w:r>
      <w:proofErr w:type="spellEnd"/>
      <w:r w:rsidRPr="0061100C">
        <w:rPr>
          <w:szCs w:val="24"/>
        </w:rPr>
        <w:t xml:space="preserve"> y </w:t>
      </w:r>
      <w:proofErr w:type="spellStart"/>
      <w:r w:rsidRPr="0061100C">
        <w:rPr>
          <w:szCs w:val="24"/>
        </w:rPr>
        <w:t>Mongomo</w:t>
      </w:r>
      <w:proofErr w:type="spellEnd"/>
      <w:r w:rsidRPr="0061100C">
        <w:rPr>
          <w:szCs w:val="24"/>
        </w:rPr>
        <w:t xml:space="preserve"> registraron deflación durante el primer trimestre del 2022.</w:t>
      </w:r>
    </w:p>
    <w:p w:rsidR="00DD19BD" w:rsidRDefault="00031BEC"/>
    <w:sectPr w:rsidR="00DD19BD" w:rsidSect="00C15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031BEC"/>
    <w:rsid w:val="00031BEC"/>
    <w:rsid w:val="009C43FF"/>
    <w:rsid w:val="009E3063"/>
    <w:rsid w:val="00C1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BEC"/>
    <w:pPr>
      <w:spacing w:line="240" w:lineRule="auto"/>
    </w:pPr>
    <w:rPr>
      <w:rFonts w:ascii="Times New Roman" w:eastAsia="Times New Roman" w:hAnsi="Times New Roman" w:cs="Times New Roman"/>
      <w:i/>
      <w:iCs/>
      <w:noProof/>
      <w:color w:val="1F497D" w:themeColor="text2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6.1111111111111178E-2"/>
          <c:y val="0.17997739865850101"/>
          <c:w val="0.93888888888889011"/>
          <c:h val="0.73577136191309556"/>
        </c:manualLayout>
      </c:layout>
      <c:barChart>
        <c:barDir val="col"/>
        <c:grouping val="clustered"/>
        <c:ser>
          <c:idx val="0"/>
          <c:order val="0"/>
          <c:tx>
            <c:strRef>
              <c:f>'IPC GE 2021 pond act'!$CC$119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-2.1706099413935352E-3"/>
                  <c:y val="-5.194759745940848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D4-4F74-8A31-BFF6C654CA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'IPC GE 2021 pond act'!$CD$118:$CH$118</c:f>
              <c:strCache>
                <c:ptCount val="5"/>
                <c:pt idx="0">
                  <c:v>Malabo</c:v>
                </c:pt>
                <c:pt idx="1">
                  <c:v>Bata</c:v>
                </c:pt>
                <c:pt idx="2">
                  <c:v>Ebibeyin</c:v>
                </c:pt>
                <c:pt idx="3">
                  <c:v>Evinayong</c:v>
                </c:pt>
                <c:pt idx="4">
                  <c:v>Mongomo</c:v>
                </c:pt>
              </c:strCache>
            </c:strRef>
          </c:cat>
          <c:val>
            <c:numRef>
              <c:f>'IPC GE 2021 pond act'!$CD$119:$CH$119</c:f>
              <c:numCache>
                <c:formatCode>General</c:formatCode>
                <c:ptCount val="5"/>
                <c:pt idx="0">
                  <c:v>1.8</c:v>
                </c:pt>
                <c:pt idx="1">
                  <c:v>0.2</c:v>
                </c:pt>
                <c:pt idx="2">
                  <c:v>-0.30000000000000032</c:v>
                </c:pt>
                <c:pt idx="3">
                  <c:v>0.5</c:v>
                </c:pt>
                <c:pt idx="4">
                  <c:v>-1.7000000000000006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95-4B93-843A-4832EE762A58}"/>
            </c:ext>
          </c:extLst>
        </c:ser>
        <c:ser>
          <c:idx val="1"/>
          <c:order val="1"/>
          <c:tx>
            <c:strRef>
              <c:f>'IPC GE 2021 pond act'!$CC$120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'IPC GE 2021 pond act'!$CD$118:$CH$118</c:f>
              <c:strCache>
                <c:ptCount val="5"/>
                <c:pt idx="0">
                  <c:v>Malabo</c:v>
                </c:pt>
                <c:pt idx="1">
                  <c:v>Bata</c:v>
                </c:pt>
                <c:pt idx="2">
                  <c:v>Ebibeyin</c:v>
                </c:pt>
                <c:pt idx="3">
                  <c:v>Evinayong</c:v>
                </c:pt>
                <c:pt idx="4">
                  <c:v>Mongomo</c:v>
                </c:pt>
              </c:strCache>
            </c:strRef>
          </c:cat>
          <c:val>
            <c:numRef>
              <c:f>'IPC GE 2021 pond act'!$CD$120:$CH$120</c:f>
              <c:numCache>
                <c:formatCode>General</c:formatCode>
                <c:ptCount val="5"/>
                <c:pt idx="0">
                  <c:v>3.5</c:v>
                </c:pt>
                <c:pt idx="1">
                  <c:v>4.2</c:v>
                </c:pt>
                <c:pt idx="2">
                  <c:v>2.2999999999999998</c:v>
                </c:pt>
                <c:pt idx="3">
                  <c:v>2.2000000000000002</c:v>
                </c:pt>
                <c:pt idx="4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95-4B93-843A-4832EE762A58}"/>
            </c:ext>
          </c:extLst>
        </c:ser>
        <c:dLbls>
          <c:showVal val="1"/>
        </c:dLbls>
        <c:gapWidth val="219"/>
        <c:overlap val="-27"/>
        <c:axId val="96849920"/>
        <c:axId val="96851456"/>
      </c:barChart>
      <c:catAx>
        <c:axId val="9684992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6851456"/>
        <c:crosses val="autoZero"/>
        <c:auto val="1"/>
        <c:lblAlgn val="ctr"/>
        <c:lblOffset val="100"/>
      </c:catAx>
      <c:valAx>
        <c:axId val="96851456"/>
        <c:scaling>
          <c:orientation val="minMax"/>
        </c:scaling>
        <c:delete val="1"/>
        <c:axPos val="l"/>
        <c:numFmt formatCode="General" sourceLinked="1"/>
        <c:tickLblPos val="nextTo"/>
        <c:crossAx val="9684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2185</Characters>
  <Application>Microsoft Office Word</Application>
  <DocSecurity>0</DocSecurity>
  <Lines>18</Lines>
  <Paragraphs>5</Paragraphs>
  <ScaleCrop>false</ScaleCrop>
  <Company>HP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centauroimagen1@outlook.es</dc:creator>
  <cp:lastModifiedBy>centauroimagen1@outlook.es</cp:lastModifiedBy>
  <cp:revision>1</cp:revision>
  <dcterms:created xsi:type="dcterms:W3CDTF">2022-04-20T17:00:00Z</dcterms:created>
  <dcterms:modified xsi:type="dcterms:W3CDTF">2022-04-20T17:00:00Z</dcterms:modified>
</cp:coreProperties>
</file>