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CE" w:rsidRPr="00956BB4" w:rsidRDefault="00E37B05" w:rsidP="00956BB4">
      <w:pPr>
        <w:shd w:val="clear" w:color="auto" w:fill="FFFFFF"/>
        <w:spacing w:before="123" w:after="123" w:line="398" w:lineRule="atLeast"/>
        <w:jc w:val="both"/>
        <w:outlineLvl w:val="1"/>
        <w:rPr>
          <w:rFonts w:ascii="Georgia" w:eastAsia="Times New Roman" w:hAnsi="Georgia"/>
          <w:b/>
          <w:sz w:val="34"/>
          <w:szCs w:val="34"/>
          <w:lang w:eastAsia="es-ES"/>
        </w:rPr>
      </w:pPr>
      <w:r w:rsidRPr="00E37B05">
        <w:rPr>
          <w:rFonts w:ascii="Georgia" w:eastAsia="Times New Roman" w:hAnsi="Georgia"/>
          <w:b/>
          <w:sz w:val="34"/>
          <w:szCs w:val="34"/>
          <w:lang w:eastAsia="es-ES"/>
        </w:rPr>
        <w:t>Presidente cubano publica artículo junto a reconocido científico sobre gestión gubernamental y la ciencia frente a la Covid-19 (+ Artículo)</w:t>
      </w:r>
    </w:p>
    <w:p w:rsidR="00E37B05" w:rsidRDefault="000A4FAE">
      <w:r>
        <w:rPr>
          <w:noProof/>
          <w:lang w:eastAsia="es-ES"/>
        </w:rPr>
        <w:drawing>
          <wp:inline distT="0" distB="0" distL="0" distR="0">
            <wp:extent cx="5398770" cy="2947670"/>
            <wp:effectExtent l="19050" t="0" r="0" b="0"/>
            <wp:docPr id="1" name="Imagen 1" descr="http://media.cubadebate.cu/wp-content/uploads/2020/06/coronavirus-cuba-7-580x387-580x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media.cubadebate.cu/wp-content/uploads/2020/06/coronavirus-cuba-7-580x387-580x317.jpg"/>
                    <pic:cNvPicPr>
                      <a:picLocks noChangeAspect="1" noChangeArrowheads="1"/>
                    </pic:cNvPicPr>
                  </pic:nvPicPr>
                  <pic:blipFill>
                    <a:blip r:embed="rId4"/>
                    <a:srcRect/>
                    <a:stretch>
                      <a:fillRect/>
                    </a:stretch>
                  </pic:blipFill>
                  <pic:spPr bwMode="auto">
                    <a:xfrm>
                      <a:off x="0" y="0"/>
                      <a:ext cx="5398770" cy="2947670"/>
                    </a:xfrm>
                    <a:prstGeom prst="rect">
                      <a:avLst/>
                    </a:prstGeom>
                    <a:noFill/>
                    <a:ln w="9525">
                      <a:noFill/>
                      <a:miter lim="800000"/>
                      <a:headEnd/>
                      <a:tailEnd/>
                    </a:ln>
                  </pic:spPr>
                </pic:pic>
              </a:graphicData>
            </a:graphic>
          </wp:inline>
        </w:drawing>
      </w:r>
    </w:p>
    <w:p w:rsidR="00E37B05" w:rsidRDefault="00E37B05" w:rsidP="00E37B05">
      <w:pPr>
        <w:pStyle w:val="wp-caption-text"/>
        <w:shd w:val="clear" w:color="auto" w:fill="ECECEC"/>
        <w:spacing w:before="0" w:beforeAutospacing="0" w:after="0" w:afterAutospacing="0" w:line="276" w:lineRule="atLeast"/>
        <w:rPr>
          <w:rFonts w:ascii="Arial" w:hAnsi="Arial" w:cs="Arial"/>
          <w:i/>
          <w:iCs/>
          <w:color w:val="666666"/>
          <w:sz w:val="18"/>
          <w:szCs w:val="18"/>
        </w:rPr>
      </w:pPr>
      <w:r>
        <w:rPr>
          <w:rFonts w:ascii="Arial" w:hAnsi="Arial" w:cs="Arial"/>
          <w:i/>
          <w:iCs/>
          <w:color w:val="666666"/>
          <w:sz w:val="18"/>
          <w:szCs w:val="18"/>
        </w:rPr>
        <w:t>El enfrentamiento de la pandemia en Cuba. Foto: Irene Pérez/ Cubadebate.</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nfasis"/>
          <w:rFonts w:ascii="Arial" w:hAnsi="Arial" w:cs="Arial"/>
          <w:color w:val="333333"/>
          <w:sz w:val="25"/>
          <w:szCs w:val="25"/>
        </w:rPr>
        <w:t>Un artículo sobre la gestión gubernamental y el papel de la ciencia cubana en el enfrentamiento a la COVID-19 fue publicado en la Revista Anales, de la Academia de Ciencias de Cuba, por el Presidente de la República, Miguel Díaz-Canel Bermúdez, y  el Presidente de la Cátedra Ciencia, Tecnología y Sociedad, de la Universidad de La Habana, Jorge Núñez Jover.</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nfasis"/>
          <w:rFonts w:ascii="Arial" w:hAnsi="Arial" w:cs="Arial"/>
          <w:color w:val="333333"/>
          <w:sz w:val="25"/>
          <w:szCs w:val="25"/>
        </w:rPr>
        <w:t>El objetivo central de esta contribución es reflexionar sobre las experiencias acumuladas en el enfrentamiento a la COVID-19 con relación al vínculo entre los científicos y el Gobierno y sistematizarlas.</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nfasis"/>
          <w:rFonts w:ascii="Arial" w:hAnsi="Arial" w:cs="Arial"/>
          <w:color w:val="333333"/>
          <w:sz w:val="25"/>
          <w:szCs w:val="25"/>
        </w:rPr>
        <w:t>El resumen del documento aclara que en él se muestran el sistema de trabajo utilizado y las principales acciones e investigaciones realizadas, y se resumen las valoraciones y aprendizajes que esta experiencia arroja. Se destaca también el relevante papel que han desempeñado la ciencia y la tecnología nacionales, orgánicamente vinculadas con la gestión gubernamental, todos en función de ofrecer una respuesta social, científica, política y sanitaria capaz de enfrentar el desafío que la pandemia nos ha planteado.</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nfasis"/>
          <w:rFonts w:ascii="Arial" w:hAnsi="Arial" w:cs="Arial"/>
          <w:color w:val="333333"/>
          <w:sz w:val="25"/>
          <w:szCs w:val="25"/>
        </w:rPr>
        <w:t xml:space="preserve">Tomando en cuenta que la crisis de la COVID-19 es mundial, el artículo comienza por explorar algunas características del neoliberalismo que </w:t>
      </w:r>
      <w:r>
        <w:rPr>
          <w:rStyle w:val="nfasis"/>
          <w:rFonts w:ascii="Arial" w:hAnsi="Arial" w:cs="Arial"/>
          <w:color w:val="333333"/>
          <w:sz w:val="25"/>
          <w:szCs w:val="25"/>
        </w:rPr>
        <w:lastRenderedPageBreak/>
        <w:t>dificultan el enfrentamiento a crisis como la generada por el nuevo coronavirus (SARS-CoV-2).</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nfasis"/>
          <w:rFonts w:ascii="Arial" w:hAnsi="Arial" w:cs="Arial"/>
          <w:color w:val="333333"/>
          <w:sz w:val="25"/>
          <w:szCs w:val="25"/>
        </w:rPr>
        <w:t>La convergencia de varias crisis a nivel global y la creciente complejidad de los desafíos con los cuales es preciso lidiar acentúan la necesidad de escapar de la trampa del neoliberalismo. En el texto se insiste en que lo logrado en Cuba tiene también un significado ético y político.</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nfasis"/>
          <w:rFonts w:ascii="Arial" w:hAnsi="Arial" w:cs="Arial"/>
          <w:color w:val="333333"/>
          <w:sz w:val="25"/>
          <w:szCs w:val="25"/>
        </w:rPr>
        <w:t>Por su importancia, Cubadebate reproduce íntegro este artículo:</w:t>
      </w:r>
    </w:p>
    <w:p w:rsidR="00E37B05" w:rsidRDefault="00E37B05" w:rsidP="00E37B05">
      <w:pPr>
        <w:pStyle w:val="Ttulo3"/>
        <w:shd w:val="clear" w:color="auto" w:fill="FFFFFF"/>
        <w:spacing w:before="153" w:after="230" w:line="384" w:lineRule="atLeast"/>
        <w:rPr>
          <w:rFonts w:ascii="Arial" w:hAnsi="Arial" w:cs="Arial"/>
          <w:color w:val="CC0001"/>
          <w:sz w:val="31"/>
          <w:szCs w:val="31"/>
        </w:rPr>
      </w:pPr>
      <w:r>
        <w:rPr>
          <w:rFonts w:ascii="Arial" w:hAnsi="Arial" w:cs="Arial"/>
          <w:color w:val="CC0001"/>
          <w:sz w:val="31"/>
          <w:szCs w:val="31"/>
        </w:rPr>
        <w:t>Gestión gubernamental y ciencia cubana en el enfrentamiento a la COVID-19</w:t>
      </w:r>
    </w:p>
    <w:p w:rsidR="00E37B05" w:rsidRP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lang w:val="en-US"/>
        </w:rPr>
      </w:pPr>
      <w:r w:rsidRPr="00E37B05">
        <w:rPr>
          <w:rStyle w:val="Textoennegrita"/>
          <w:rFonts w:ascii="Arial" w:hAnsi="Arial" w:cs="Arial"/>
          <w:color w:val="333333"/>
          <w:sz w:val="25"/>
          <w:szCs w:val="25"/>
          <w:lang w:val="en-US"/>
        </w:rPr>
        <w:t>Government management and Cuban science in the confrontation with COVID-19</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Textoennegrita"/>
          <w:rFonts w:ascii="Arial" w:hAnsi="Arial" w:cs="Arial"/>
          <w:color w:val="333333"/>
          <w:sz w:val="25"/>
          <w:szCs w:val="25"/>
        </w:rPr>
        <w:t>Miguel Díaz-Canel Bermúdez1,</w:t>
      </w:r>
      <w:r>
        <w:rPr>
          <w:rFonts w:ascii="Arial" w:hAnsi="Arial" w:cs="Arial"/>
          <w:color w:val="333333"/>
          <w:sz w:val="25"/>
          <w:szCs w:val="25"/>
        </w:rPr>
        <w:br/>
      </w:r>
      <w:r>
        <w:rPr>
          <w:rStyle w:val="Textoennegrita"/>
          <w:rFonts w:ascii="Arial" w:hAnsi="Arial" w:cs="Arial"/>
          <w:color w:val="333333"/>
          <w:sz w:val="25"/>
          <w:szCs w:val="25"/>
        </w:rPr>
        <w:t>Jorge Núñez Jover 2</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Fonts w:ascii="Arial" w:hAnsi="Arial" w:cs="Arial"/>
          <w:color w:val="333333"/>
          <w:sz w:val="25"/>
          <w:szCs w:val="25"/>
        </w:rPr>
        <w:t>1 Presidente de la República de Cuba</w:t>
      </w:r>
      <w:r>
        <w:rPr>
          <w:rFonts w:ascii="Arial" w:hAnsi="Arial" w:cs="Arial"/>
          <w:color w:val="333333"/>
          <w:sz w:val="25"/>
          <w:szCs w:val="25"/>
        </w:rPr>
        <w:br/>
        <w:t>2 Presidente de la Cátedra Ciencia, Tecnología y Sociedad, Universidad de La Habana; La Habana, Cuba</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Textoennegrita"/>
          <w:rFonts w:ascii="Arial" w:hAnsi="Arial" w:cs="Arial"/>
          <w:color w:val="333333"/>
          <w:sz w:val="25"/>
          <w:szCs w:val="25"/>
        </w:rPr>
        <w:t>Autor para la correspondencia:</w:t>
      </w:r>
      <w:r>
        <w:rPr>
          <w:rFonts w:ascii="Arial" w:hAnsi="Arial" w:cs="Arial"/>
          <w:color w:val="333333"/>
          <w:sz w:val="25"/>
          <w:szCs w:val="25"/>
        </w:rPr>
        <w:br/>
        <w:t>Miguel Díaz-Canel Bermúdez</w:t>
      </w:r>
      <w:r>
        <w:rPr>
          <w:rFonts w:ascii="Arial" w:hAnsi="Arial" w:cs="Arial"/>
          <w:color w:val="333333"/>
          <w:sz w:val="25"/>
          <w:szCs w:val="25"/>
        </w:rPr>
        <w:br/>
        <w:t>Presidente de la República de Cuba</w:t>
      </w:r>
      <w:r>
        <w:rPr>
          <w:rFonts w:ascii="Arial" w:hAnsi="Arial" w:cs="Arial"/>
          <w:color w:val="333333"/>
          <w:sz w:val="25"/>
          <w:szCs w:val="25"/>
        </w:rPr>
        <w:br/>
        <w:t>Correo electrónico: despacho@presidencia.gob.cu</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RESUMEN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El objetivo central de esta contribución es reflexionar sobre las experiencias acumuladas en el enfrentamiento a la COVID-19 con relación al vínculo entre los científicos y el Gobierno y sistematizarlas. Se muestran el sistema de trabajo utilizado y las principales acciones e investigaciones realizadas y se resumen las valoraciones y aprendizajes que esta experiencia arroja. Se destaca el relevante papel que han desempeñado la ciencia y la tecnología nacionales, orgánicamente vinculadas con la gestión gubernamental, todos en función de ofrecer una respuesta social, científica, política y sanitaria capaz de enfrentar el desafío que la pandemia nos ha planteado. Tomando en cuenta que la crisis de la COVID-19 es mundial, el artículo comienza por explorar algunas características del neoliberalismo que dificultan el enfrentamiento a crisis como la generada por el nuevo coronavirus (SARS-CoV-2). La convergencia de varias crisis a nivel global y la creciente </w:t>
      </w:r>
      <w:r>
        <w:rPr>
          <w:rFonts w:ascii="Arial" w:hAnsi="Arial" w:cs="Arial"/>
          <w:color w:val="333333"/>
          <w:sz w:val="25"/>
          <w:szCs w:val="25"/>
        </w:rPr>
        <w:lastRenderedPageBreak/>
        <w:t>complejidad de los desafíos con los cuales es preciso lidiar acentúan la necesidad de escapar de la trampa del neoliberalismo. En el texto se insiste en que lo logrado en Cuba tiene también un significado ético y político.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Palabras clave: Cuba; ciencia; Gobierno; COVID-19</w:t>
      </w:r>
    </w:p>
    <w:p w:rsidR="00E37B05" w:rsidRP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lang w:val="en-US"/>
        </w:rPr>
      </w:pPr>
      <w:r w:rsidRPr="00E37B05">
        <w:rPr>
          <w:rFonts w:ascii="Arial" w:hAnsi="Arial" w:cs="Arial"/>
          <w:color w:val="CC0001"/>
          <w:sz w:val="34"/>
          <w:szCs w:val="34"/>
          <w:lang w:val="en-US"/>
        </w:rPr>
        <w:t>ABSTRACT</w:t>
      </w:r>
    </w:p>
    <w:p w:rsidR="00E37B05" w:rsidRP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lang w:val="en-US"/>
        </w:rPr>
      </w:pPr>
      <w:r w:rsidRPr="00E37B05">
        <w:rPr>
          <w:rFonts w:ascii="Arial" w:hAnsi="Arial" w:cs="Arial"/>
          <w:color w:val="333333"/>
          <w:sz w:val="25"/>
          <w:szCs w:val="25"/>
          <w:lang w:val="en-US"/>
        </w:rPr>
        <w:t>The central objective of this contribution is to systematize and reflect on the experiences accumulated in the confrontation with COVID-19 in relation to the link between scientists and government. It shows the working system used, the main actions and research carried out and summarizes the assessments and learnings that this experience yields. It will highlight the important role played in it by national science and technology, organically linked to government management, all depending on providing a social, scientific, political and health response capable of meeting the challenge that the pandemic has posed to us. Considering that the COVID-19 crisis is global, the article begins by exploring some features of neoliberalism that hinder confrontation with crises such as the one generated by the new coronavirus (SARS-CoV-2). The convergence of several crises at the global level and the increasing complexity of the challenges to be dealt with accentuate the need to escape the trap of neoliberalism. The text emphasizes that what has been achieved in Cuba also has an ethical and political significance.</w:t>
      </w:r>
    </w:p>
    <w:p w:rsidR="00E37B05" w:rsidRP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lang w:val="en-US"/>
        </w:rPr>
      </w:pPr>
      <w:r w:rsidRPr="00E37B05">
        <w:rPr>
          <w:rFonts w:ascii="Arial" w:hAnsi="Arial" w:cs="Arial"/>
          <w:color w:val="333333"/>
          <w:sz w:val="25"/>
          <w:szCs w:val="25"/>
          <w:lang w:val="en-US"/>
        </w:rPr>
        <w:t>Keywords: Cuba; science; government; COVID-19</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INTRODUCCIÓN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El objetivo central de esta contribución es reflexionar sobre las experiencias acumuladas en el enfrentamiento a la COVID-19 con relación al vínculo entre los científicos y el Gobierno y sistematizarlas. Se muestran el sistema de trabajo utilizado y las principales acciones e investigaciones realizadas, y se resumen las valoraciones y aprendizajes que esta experiencia arroja. Así mismo, se destaca el relevante papel que han desempeñado la ciencia y la tecnología nacionales, orgánicamente vinculadas con la gestión gubernamental, todos en función de ofrecer una respuesta social, científica, política y sanitaria capaz de enfrentar el desafío que la pandemia ha </w:t>
      </w:r>
      <w:r>
        <w:rPr>
          <w:rFonts w:ascii="Arial" w:hAnsi="Arial" w:cs="Arial"/>
          <w:color w:val="333333"/>
          <w:sz w:val="25"/>
          <w:szCs w:val="25"/>
        </w:rPr>
        <w:lastRenderedPageBreak/>
        <w:t>planteado. Pero, la crisis de la COVID-19 es global. No es ocioso por ello echar un vistazo a lo que acontece en el mundo.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pandemia del nuevo coronavirus (SARS-CoV-2) abarca casi a la totalidad de los países del mundo, cuyos gobiernos y sistemas de salud han demostrado capacidades de respuesta muy variables. Surge entonces inevitablemente una pregunta: ¿a qué se debe que países con economías solventes y capacidades científicas y tecnológicas no desestimables hayan mostrado tantas dificultades para enfrentar la crisis? Al buscar respuestas, muchas miradas se han dirigido a los modelos neoliberales que varios de esos países practican. Surge otra pregunta: ¿son los dogmas del neoliberalismo y sus políticas asociadas las más convenientes para lidiar con los complejos procesos ambientales, sanitarios, económicos y de gobernanza global a los cuales el mundo se está enfrentando?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este artículo se identifican algunas características del neoliberalismo que ponen en duda su capacidad de responder efectivamente a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un mundo profundamente interrelacionado, hay que prestar atención a esas experiencias internacionales y sacar las debidas conclusiones, sobre todo porque la COVID-19 no debería ser considerada un hecho fortuito, aislado, exclusivamente sanitario y sin consecuencias futuras.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Existen tendencias globales que al parecer no harán más que acentuarse en lo adelante:</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Es obvio que el mundo asiste a una presión creciente sobre los umbrales planetarios para la vida. Se elevan la tasa y la escala de problemas y desastres ambientales y sociales.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Convergen múltiples crisis: sanitarias, ambientales, desigualdad, exclusión, crecimiento poblacional.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Cada país, región -y también a nivel global-, tiene que aprender a lidiar con sistemas complejos (no linealidad, irreversibilidad, fuertes interconexiones, emergencias insospechadas, incertidumbres) que demandan desbordes disciplinarios y exigen colaboración intersectorial, interinstitucional y también transnacional.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Aprender a tratar con la "sociedad del riesgo"(1) parece un imperativo de nuestro tiempo.</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ALGUNAS PREGUNTAS AL NEOLIBERALISMO DESDE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COVID-19 trae consigo no solo numerosas preguntas científicas, algunas inéditas. También ha puesto a debate algunos de los dogmas que el neoliberalismo enarbola: estado mínimo, mercado como panacea, desregulación, desnacionalización, privatización, achicamiento del sector público, destrucción de los bienes comunes, políticas públicas fragilizadas, entre otros.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crisis actual es sanitaria y, a la vez, socioeconómica y humanitaria. De hecho, hay varias pandemias en curso que incluyen también la pobreza y el hambre. Cuba las ha denunciado claramente: "La pandemia agudiza los acuciantes problemas de un planeta plagado de profundas desigualdades, en el que 600 millones de personas viven en extrema pobreza y donde casi la mitad de la población no tiene acceso a servicios básicos de salud, en cuya gestión se impone el mercado por encima del noble propósito de salvar vidas".(2)</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Se dice con razón que en estas circunstancias la ideología y las políticas neoliberales han sido desnudadas, y no faltan quienes afirman que el mundo deberá ser distinto luego de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A los efectos de este artículo hay varias cuestiones relacionadas con el neoliberalismo que requieren especial atención: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1. La tesis del Estado mínimo o cuanto menos Estado, mejor. Es uno de los dogmas principales del neoliberalismo. Sus apologetas hablan de un "sector privado «revolucionario» dinámico, innovador y competitivo y un sector público «entrometido» indolente, burocrático e inercial" (3, p.49).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En contraposición a esto: "A menos que desafiemos los numerosos mitos referentes al desarrollo económico y abandonemos las visiones convencionales del papel del Estado, no podemos aspirar a afrontar los retos estructurales del siglo xxi ni a producir el cambio tecnológico y </w:t>
      </w:r>
      <w:r>
        <w:rPr>
          <w:rFonts w:ascii="Arial" w:hAnsi="Arial" w:cs="Arial"/>
          <w:color w:val="333333"/>
          <w:sz w:val="25"/>
          <w:szCs w:val="25"/>
        </w:rPr>
        <w:lastRenderedPageBreak/>
        <w:t>organizativo que necesitamos para garantizar el crecimiento sostenible y equitativo en el largo plazo". (3 p.45)</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¿Puede prescindirse de Estados con posibilidad de movilizar actores, recursos, capacidades, para enfrentar organizadamente tamaños retos?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2. Las políticas sociales, en particular las políticas de salud se han subordinado cada vez más a la lógica de la ganancia y la competitividad empresarial y han visto reducidas sus capacidades de respuesta especialmente en situaciones extremas. ¿Debe ser la salud un derecho humano universal o un bien comercial más, transable en el mercado?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3. El neoliberalismo trae consigo lo que se ha denominado el "capitalismo cognitivo", que no es otra cosa que la privatización y mercantilización del conocimiento con el objetivo de generar ganancias para el capital.(4) En contraposición a esto: ¿Debería el conocimiento, socialmente compartido, facilitar la cooperación entre los científicos y ponerse al servicio de las grandes necesidades humanas?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4. El capitalismo cognitivo generó nuevos modos de producción de conocimientos. En el modelo de la Triple Hélice(5, 6) se incorporan conceptos como los de "capitalización del conocimiento" o el de "científico empresario", los que indican claramente que en esos modelos que surgen de la experiencia del Silicon Valley o semejantes se suman nuevos objetivos de la ciencia y que los científicos se alejan de aquellos valores que incluyó el ethos de la ciencia, formulado por Robert Merton en la década de los 40 del siglo pasado (7).</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Uno de ellos, muy importante, era el desinterés, según el cual el científico no persigue otra cosa que la búsqueda de la verdad. Otro es el comunitarismo, que induce a compartir los resultados porque la ciencia es una obra colectiva.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Es obvio que, en los tiempos de la "fiebre del oro" basada en el conocimiento, ese ethos se ha erosionado bastante. ¿Serán importantes los valores de los científicos en la dura tarea de enfrentar crisis como la del nuevo coronavirus?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5. La industria médico-farmacéutica mundial, en gran medida en manos de un grupo de corporaciones transnacionales, define sus agendas de investigación-desarrollo a partir de objetivos de rentabilidad y ganancia. Las consideraciones relacionadas con el bienestar humano de las mayorías, sobre todo de los países del Sur, no están en el foco de sus políticas. Por ello se orientan preferentemente a atender los perfiles epidemiológicos de los países del Norte y de los grupos sociales del Sur que pueden pagar por los productos que ellas generan; mientras tanto, se observa una clara desatención a las nuevas enfermedades y las tradicionales enfermedades tropicales. Ello explica también que la industria médico-farmacéutica haya desatendido el desarrollo de nuevos antivirales y antibióticos, a la vez que privilegia medicamentos más rentables.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COVID-19 genera de inmediato preguntas: ¿beneficia el monopolio del conocimiento que manejan esas grandes empresas el objetivo de lograr que la salud sea efectivamente un derecho humano universal? ¿Deberán los Estados, el sector público, generar capacidades que les permitan enfrentar exitosamente los actuales y futuros desafíos?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6. Una de las características del mundo contemporáneo es la enorme concentración de las capacidades científicas y tecnológicas en un grupo relativamente reducido de países del Norte (8). En los países en desarrollo no solo es posible encontrar menos capacidades científicas y tecnológicas, sino que ellas suelen sintonizar escasamente con los sectores productivos. No pocos países han puesto sus sectores estratégicos en manos del capital extranjero que poco demanda de la ciencia local.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A esto se suman las carencias observables en términos de soberanía en varios Estados. La dependencia extrema del Fondo Monetario Internacional, la Organización Mundial de Comercio, el Banco Mundial y otros organismos transnacionales poco ayuda a tomar caminos soberanos en materia de ciencia, tecnología e innovación (CTI).</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pregunta es si lo anterior es o no un problema y si las soluciones a los grandes desafíos económicos, sociales, ambientales, sanitarios, entre otros, se pueden atender con ciencia y tecnología importada, entregada llave en mano.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La posición de Cuba contra el neoliberalismo en el contexto de la pandemia es clara: "Cuando se repasan los hechos que han puesto en vilo a la humanidad en los últimos cuatro meses, es indispensable mencionar los costosos errores de las políticas neoliberales, que llevaron a la reducción de la gestión y las capacidades de los Estados a excesivas privatizaciones y al olvido de las mayorías" (2).</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Las preguntas mencionadas antes permiten identificar la magnitud y complejidad de los problemas en juego. También sirven de introducción a la exploración de la experiencia cubana, desplegada desde posturas bien distintas a las del neoliberalismo.</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¿CIENCIA, ESTADO, GOBIERNO?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1945, el informe presentado por Vannevar Bush al presidente de los Estados Unidos "La ciencia, frontera sin límites"(9) abrió el camino a las políticas científicas de Estado. La ciencia dejó de ser un asunto casi exclusivamente de los científicos, que trabajaban preferentemente en laboratorios universitarios, para convertirse en una cuestión de Estado cuyo papel en el financiamiento de las actividades de investigación y desarrollo (I+D) fue creciendo ininterrumpidamente en las décadas siguientes. El largo período de la Guerra Fría acentuó notablemente esta característica que, sobre todo en los países del Norte, se mantiene hasta hoy.</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Cuando en 1968 el argentino Jorge Sábato formuló su conocido "triángulo de Sábato"(10) -que posiblemente haya sido el primer modelo interactivo de ciencia y tecnología, antecedente de los actuales enfoques de Triple Hélice, sistemas de innovación, entre otros-, incluyó tres actores clave cuyas interacciones constituirían un importante motor del desarrollo. Esos actores eran el Estado, las empresas (en la época, las más importantes eran estatales) y las universidades, que por entonces eran fundamentalmente públicas.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entrada del neoliberalismo en América Latina vino acompañada de un debilitamiento notable de las políticas de Estado en ciencia y tecnología. La gestión se sobrepuso a la política; los objetivos nacionales fueron desplazados por la racionalidad empresarial.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Una de las recetas favoritas del neoliberalismo es recomendar que el Estado intervenga lo menos posible y deje en manos del mercado la regulación de los procesos. En el plano de las políticas de innovación existen respuestas contundentes a ese precepto: "¿El Estado desarrolla innovaciones «de manera alocada»? Sí, la mayoría de las innovaciones radicales y revolucionarias que han alimentado la dinámica del capitalismo -desde el ferrocarril hasta Internet y la nanotecnología y la farmacéutica modernas- parten de inversiones iniciales «emprendedoras» arriesgadas, que se caracterizan por un uso intensivo de capital proporcionado por el Estado" (3, 30).</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experiencia de Cuba incluye una influyente participación del Estado en las actividades de producción, difusión y uso del conocimiento. La mención a algunos hitos permite respaldar esa afirmación. Muy importantes fueron la Campaña de alfabetización en 1961 y todos los planes educacionales que le siguieron. La fundación del Centro Nacional de Investigaciones Científicas [i] (CNIC), en 1965, permitió crear un centro de investigación según el modelo de los países más avanzados. Fue clave en esa estrategia la incorporación de la investigación científica a las universidades a partir de la Reforma Universitaria de 1962, con énfasis en el período 1967-1972, donde la presencia permanente de Fidel en la Universidad de La Habana permitió construir una auténtica política científica universitaria bien articulada al proyecto nacional que se desplegaba. En el primer Congreso del Partido Comunista de Cuba (PCC), celebrado en 1975, se aprobó una tesis sobre política científica, adelantada para su tiempo. En la década de 1980 comenzó la creación del Polo Científico de la Biotecnología, que creó las bases de la actual industria médico-farmacéutica cubana, clave en el enfrentamiento a la COVID-19.(11)</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la actualidad, los temas relacionados con el conocimiento, la ciencia, la tecnología y la innovación ocupan un lugar relevante en los Lineamientos de la Política Económica y Social del Partido y la Revolución para el período 2016-2021, la Conceptualización del Modelo Económico y Social Cubano de Desarrollo Socialista, las Bases del Plan Nacional de Desarrollo Económico y Social hasta el 2030: Visión de la Nación, Ejes y Sectores Estratégicos (12) y la Constitución de la República (13) .</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Es necesario continuar avanzando en el fortalecimiento de las capacidades de ciencia, tecnología e innovación, y en las conexiones de estas con las necesidades de nuestro desarrollo. Hay mucho camino por recorrer.</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Están apareciendo paulatinamente nuevas políticas y sus respectivas normas jurídicas, las que deben permitir fortalecer el potencial científico y tecnológico de la nación y aprovecharlo mejor en favor de nuestra economía y aumentar su contribución al bienestar de los cubanos. Entre las más importantes se encuentran: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Decreto No. 363/2019 (14) (GOC-2019-998-O86): De los Parques Científicos y Tecnológicos y de las Empresas de Ciencia y Tecnología que Funcionan como Interface entre las Universidades y Entidades de Ciencia, Tecnología e Innovación con las Entidades Productivas y de Servicios.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Decreto No. 2/2020 (15) (GOC-2020-156-O16): De las Empresas de Alta Tecnología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Decreto-Ley No. 7 (16): Del Sistema de Ciencia, Tecnología e Innovación, firmado por el Presidente de la Asamblea Nacional del Poder Popular el 16 de abril de 2020.</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Resolución 286/2019 (17) (GOC-2019-999-O86): Reglamento para la Organización y Funcionamiento del Registro Nacional de Entidades de Ciencia, Tecnología e Innovación.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Resolución 287/2019 (18) (GOC-2019-1000-86): Reglamento para el Sistema de Programas y Proyectos de Ciencia, Tecnología e Innovación.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Sin duda, conocimiento, ciencia tecnología e innovación son elementos clave para avanzar en el desarrollo. Sin embargo, es importante subrayar la conexión recíproca que existe entre CTI y desarrollo. Por una parte, CTI constituyen fuerzas motrices del desarrollo económico y social. A la vez, la orientación social de CTI, los intereses a los que ellas sirven y los grupos sociales a los que benefician dependen de la calidad misma de los modelos de desarrollo y los intereses dominantes en ellos. Por ejemplo, lo que explica el desarrollo de la biotecnología cubana y su contribución al sistema de salud no se reduce a que contemos con buenas instituciones y excelentes profesionales. La política histórica de la Revolución orientada a </w:t>
      </w:r>
      <w:r>
        <w:rPr>
          <w:rFonts w:ascii="Arial" w:hAnsi="Arial" w:cs="Arial"/>
          <w:color w:val="333333"/>
          <w:sz w:val="25"/>
          <w:szCs w:val="25"/>
        </w:rPr>
        <w:lastRenderedPageBreak/>
        <w:t>fortalecer el sistema de salud público, gratuito y de calidad, y la conducción política de esa industria, en particular el liderazgo de Fidel, han sido determinantes. Los valores dominantes en esos profesionales también son expresión del modelo social cubano, socialista y solidario. Lo mejor de la política cubana de ciencia y tecnología han sido los valores sociales que la han guiado, en particular el interés por poner el conocimiento al servicio de las demandas del desarrollo y la satisfacción de las necesidades humanas básicas de toda la población.(19)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Esta observación permite subrayar el papel del Estado y el Gobierno y los intereses que estos representan. La gestión de gobierno debe favorecer que la ciencia cumpla con las funciones sociales que el desarrollo demanda.</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LA COVID-19 EN CUBA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El primer caso de COVID-19 fue detectado en Cuba el 11 de marzo de 2020. Sin embargo, el país había reaccionado a la epidemia y elaborado respuestas desde mucho antes. En ellas se aprecia el esfuerzo temprano por articular la gestión gubernamental con la gestión científica y tecnológica y el conocimiento experto.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El 7 de enero de 2020 científicos chinos identificaron al agente causal, un nuevo coronavirus, que posteriormente fue bautizado como SARS-CoV-2, y a la nueva enfermedad que el virus causaba la denominaron COVID-19. El 30 de enero la Organización Mundial de la Salud declaró la actual epidemia de coronavirus.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Desde esa temprana fecha el General de Ejército Raúl Castro Ruz, Primer Secretario del Comité Central del Partido, indicó la necesidad de contar con una estrategia nacional. Como consecuencia, el 29 de enero el Consejo de Ministros aprobó un Plan para la Prevención y Control del Coronavirus que luego sería enriquecido. El 3 de febrero comenzó la primera etapa de la capacitación para los profesionales de la salud y trabajadores de los organismos de la Administración Central del Estado en los temas de bioseguridad y el 12 de febrero se creó el Grupo de Ciencia para el Enfrentamiento a la COVID-19. El 17 y el 26 del mismo mes se establecieron, respectivamente, el Observatorio de Salud COVID-19 y el Comité de Innovación [ii]. El 28 de febrero se aprobaron los primeros cinco </w:t>
      </w:r>
      <w:r>
        <w:rPr>
          <w:rFonts w:ascii="Arial" w:hAnsi="Arial" w:cs="Arial"/>
          <w:color w:val="333333"/>
          <w:sz w:val="25"/>
          <w:szCs w:val="25"/>
        </w:rPr>
        <w:lastRenderedPageBreak/>
        <w:t>proyectos de investigación para la COVID-19. A la altura del 1 de junio se desarrollaban 460 investigaciones, de ellas 85 dirigidas por el Grupo de Ciencia del Grupo Técnico Nacional [iii].</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Esta breve cronología permite ilustrar que, en cuanto se recibieron en el país las primeras señales de una potencial crisis, comenzó el despliegue de la gestión gubernamental orientada a movilizar todas las importantes capacidades científicas, tecnológicas, profesionales que permitieran enfrentar la pandemia. En el curso de los meses, la gestión gubernamental y la participación de científicos, profesionales y variados expertos se ha intensificado.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Como se ha explicado, en la Cumbre Virtual del Movimiento de Países No Alineados "Unidos contra la COVID-19":(2)</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Para Cuba el desafío ha sido descomunal. Meses antes de que se desatara la pandemia de la COVID-19, ya enfrentábamos un brutal recrudecimiento de la política de bloqueo económico, comercial y financiero de los Estados Unidos, dirigida a estrangular totalmente nuestro comercio, el acceso a los combustibles y a las divisas.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Con enormes esfuerzos y sacrificios hemos logrado sostener en esas condiciones el sistema de Salud Pública universal, gratuito y de profesionales consagrados y de alta calificación, reconocidos mundialmente a pesar de las groseras y difamatorias campañas de descrédito de poderosos adversarios.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medio de ese contexto asfixiante de guerra económica, aparecieron las primeras señales de alerta sobre la posibilidad de que la COVID-19 se transformara en pandemia y eso elevó la magnitud de los retos.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Inmediatamente se elaboró un plan de medidas, sustentadas en nuestras fuerzas fundamentales: un Estado organizado, responsable de velar por la salud de sus ciudadanos y una sociedad con elevado grado de participación en la adopción de decisiones y en la solución de sus problemas.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La obra de años dedicando recursos a desarrollar y fortalecer la salud y las ciencias ha sido puesta a prueba, y la evolución de la pandemia en Cuba en los últimos dos meses está demostrando cuánto pueden impactar las </w:t>
      </w:r>
      <w:r>
        <w:rPr>
          <w:rFonts w:ascii="Arial" w:hAnsi="Arial" w:cs="Arial"/>
          <w:color w:val="333333"/>
          <w:sz w:val="25"/>
          <w:szCs w:val="25"/>
        </w:rPr>
        <w:lastRenderedPageBreak/>
        <w:t>políticas de inversión social en el enfrentamiento a los mayores y más inesperados desafíos. (2)</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Revisemos con más detalle algunos elementos que permiten entender la respuesta cubana a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Aun en medio de circunstancias adversas, el país ha desplegado durante décadas una política de salud pública, universal y gratuita, absolutamente inclusiva. Cuba dedica el 27,5 % de su presupuesto a respaldar los gastos de salud y asistencia social, lo cual permite que el sistema esté preparado para enfrentar la pandemia.[iv]</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Una de las piezas más importantes de esa política es el sistema de atención primaria, cuya proximidad a las personas favorece el intercambio directo con la población, facilita el acceso y permite reaccionar rápida y efectivamente tanto para la promoción de salud como para cualquier evento adverso.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Según el Anuario estadístico de salud: (20)</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Cuba cuenta con 479 623 trabajadores de la salud, que representan el 6,6 % de la población en edad laboral, el 71,2 % son mujeres. La tasa de habitantes por médico es de 116, 86,6 médicos por 10 000 habitantes y la de habitantes por estomatólogo, 566, 17,7 estomatólogos por 10 000 habitantes. Existen 150 hospitales, el 20,0 % tiene 400 camas o más, el 62,7 % entre 100 y 399 camas y un 17,3 % con menos de 100 camas. El Sistema Nacional de Salud dispone de 110 salas de terapia intensiva, 120 áreas intensivas municipales, 449 policlínicos, 111 clínicas estomatológicas, 132 hogares maternos, 12 institutos de investigación, 680 bibliotecas médicas, 155 hogares de ancianos, 295 casas de abuelos, 52 servicios de geriatría y 30 centros médicos psicopedagógicos.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formación de recursos humanos, de la salud, ocurre en 13 universidades y 9 facultades de ciencias médicas, 4 facultades de estomatología, 1 de enfermería, 1 de tecnología de la salud, 3 de tecnología y enfermería, 12 filiales de ciencias médicas, la Escuela Latinoamericana de Medicina y la Escuela Nacional de Salud Pública.(20)</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La atención a la salud de la población se complementa con la existencia en el sector de capacidades científicas importantes, incluidos institutos y centros que realizan investigación, desarrollo e innovación, cuyas agendas se definen a partir de la problemática de salud del país.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Un respaldo poderoso al sistema de salud cubano lo ofrece la industria médico-farmacéutica, robusta, capaz de investigar, producir y poner en manos de la población recursos imprescindibles para la salud humana. Esta industria, en una situación de limitación de recursos, recurre a una variedad de opciones tecnológicas que incluyen la ciencia avanzada, y genera centenares de innovaciones, incluidas algunas que clasifican como radicales. Esto permite a Cuba contar con un nivel razonable de soberanía tecnológica en el sector de la salud.</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Junto a las capacidades propias del sector, el país cuenta con un significativo potencial humano que labora en las universidades y entidades de ciencia, tecnología e innovación con capacidad de respuesta a disímiles contingencias. Esto incluye la formación de pregrado y posgrado, incluido doctorado, en perfiles como biología, microbiología, bioquímica, farmacia, sicología, ingeniería biomédica y otras de relevancia para el sector.</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Sin duda, se dispone de importantes capacidades profesionales, científicas y tecnológicas. Pero, quizás lo más valioso de ese contingente son los valores que portan, entre ellos los de solidaridad y consagración, que están integrados a esas capacidades y que en condiciones como las que hemos tenido en tiempos de la COVID-19 se expresan con especial intensidad. Ciencia, tecnología y valores, todos juntos, ofrecen a Cuba la posibilidad de buscar respuestas a las viejas y las nuevas contingencias.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Los más de 28 000 colaboradores de la salud que Cuba tiene hoy en 59 países [v] ilustran muy bien la particular textura ética de nuestros profesionales, científicos, técnicos. Resalta en el hecho de que 34 brigadas médicas cubanas integradas por más de 2500 cooperantes han ofrecido sus servicios de manera solidaria para mitigar el impacto de la pandemia en 26 naciones, a pedido de sus gobiernos.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En 2003 Fidel (21) decía: "Este país vivirá, fundamentalmente, de sus producciones intelectuales, aunque no vivirá exclusivamente de eso; vivirá </w:t>
      </w:r>
      <w:r>
        <w:rPr>
          <w:rFonts w:ascii="Arial" w:hAnsi="Arial" w:cs="Arial"/>
          <w:color w:val="333333"/>
          <w:sz w:val="25"/>
          <w:szCs w:val="25"/>
        </w:rPr>
        <w:lastRenderedPageBreak/>
        <w:t>en grado creciente de las producciones intelectuales, de su ciencia, del desarrollo de sus servicios y productos médicos".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Por ahora es posible decir que la inteligencia creada está ayudando notablemente a salir de la pandemia que el país enfrenta.</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LA GESTIÓN DE GOBIERNO EN INTERACCIÓN CON LOS CIENTÍFICOS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Los apartados anteriores ayudan a comprender la importancia de una gestión de gobierno activa y capaz de movilizar el potencial científico disponible para de conjunto encontrar las mejores respuestas a la COVID-19 [vi].</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Piezas claves de la gestión realizada han sido el diálogo directo de los expertos, académicos y profesionales con el Gobierno, el fomento de la colaboración interinstitucional e intersectorial, la participación interdisciplinaria, el despliegue de un trabajo intenso para acelerar las respuestas y una activa comunicación pública para mejorar la información y el desempeño de la población. Para lograrlo se llevó a cabo un sistema de trabajo, cuyos elementos principales son: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Creación del Grupo Temporal Nacional dirigido por el Presidente y el Primer Ministro que se reúne diariamente.</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Reunión semanal con expertos y científicos para evaluar los resultados de las investigaciones y su aplicación.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Activación de los Consejos de Defensa Provinciales en todo el territorio nacional.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Conferencias de prensa diarias para informar al pueblo sobre la actualización de la marcha del Plan para la Prevención y Control del nuevo coronavirus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Mesas Redondas diarias para actualizar sobre diferentes temas relacionados con el Plan para la Prevención y Control de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Sesión de trabajo semanal con el Grupo Asesor Económico para abordar los temas concernientes a la estrategia de desarrollo económico social.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 Visitas a centros donde están desarrollando su labor los investigadores.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Exposición, ante el Consejo de Defensa Provincial de La Habana, de los resultados de los modelos matemáticos y los estudios de geolocalización y georreferenciación por investigadores de las facultades de Matemática y Geografía de la Universidad de La Habana (UH).</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Análisis en todos los Consejos de Defensa provinciales del comportamiento de la epidemia con la mapificación realizada por los geógrafos de la UH.</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Conferencia del Grupo Asesor en la preparación mensual del Consejo de Ministros sobre los impactos de la COVID-19, escenarios y la necesaria transformación productiva.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Aprobación e implementación actual de la Estrategia en la etapa de recuperación Post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Intensa labor actual en la concepción de la Estrategia Económica Social en la etapa de fortalecimiento de la economía para enfrentar un escenario prolongado de crisis. Este proceso de gestión e innovación comprende:</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a) Sesiones de trabajo de los grupos temporales (GTT) de cada Organismo de la Administración Central del Estado (OACE) para la elaboración de la estrategia.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b) Despachos de cada GTT para presentar sus propuestas de estrategias ante la dirección del gobierno.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c) Elaboración y presentación de la estrategia en el Buró Político.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d) Presentación de la estrategia en el Comité Ejecutivo del Consejo de Ministros.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 Presentación y aprobación de la estrategia en el Consejo de Ministros.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f) Implementación y control de la implementación.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Las principales acciones realizadas han sido: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 Desarrollo y actualización de modelos matemáticos para el pronóstico, enfrentamiento y evaluación del desarrollo de la pandemia.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Sistema de geolocalización aplicada a la gestión epidemiológica.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Escala de clasificación de pacientes graves.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Estudio de biomarcadores pronósticos de la severidad de la enfermedad.</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Mapificación de las áreas de riesgo clínico-epidemiológicas con la representación de los grupos de riesgo de las personas de 60 años y más a nivel nacional.</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Empleo del sistema ultra-micro-analítico (SUMA) como medio de diagnóstico para el pesquisaje de la población.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Desarrollo y producción de medios de protección para el personal de la salud.</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Diseño y desarrollo de prototipos cubanos de ventiladores pulmonares de emergencia.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Diseño y desarrollo de una lámpara de descontaminación con luz ultravioleta.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Uso de técnicas de big data para evaluar la movilidad de la población durante la pandemia.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Desarrollo de cinco candidatos vacunales cubanos.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Aplicación del anticuerpo monoclonal Anti-CD6, el péptido CIGB258 y el Heberferón en pacientes con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Realización de ensayos clínicos para el tratamiento de pacientes críticos y graves.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Modificaciones al protocolo terapéutico a partir de los resultados de negativización temprana de PCR con Interferón alfa-2b e Interferón alfa más gamma.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 Evaluación de resultados en aplicaciones informáticas: COVID-19-InfoCU, Repositorio COVID-19, Sistema de Gestión &amp; análisis de vigilancia y </w:t>
      </w:r>
      <w:r>
        <w:rPr>
          <w:rFonts w:ascii="Arial" w:hAnsi="Arial" w:cs="Arial"/>
          <w:color w:val="333333"/>
          <w:sz w:val="25"/>
          <w:szCs w:val="25"/>
        </w:rPr>
        <w:lastRenderedPageBreak/>
        <w:t>respuesta a brotes, pesquisador virtual, COVID19CUBADATA, Andariego, pesquisa activa de CINESOFT.</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Realización del Simposio para el modelado, seguimiento e intervención epidemiológica-COVID-19.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Elaboración y sistematización del Modelo Cubano de Gestión Clínico-epidemiológica para el Enfrentamiento y Control de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Aprobación e implementación del Protocolo de Atención a Convalecientes.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- 460 investigaciones y estudios en el plan de investigaciones sobre la COVID-19 (85 nacionales y 375 provinciales). Se analiza y aprueba un promedio de 8,3 estudios y desarrollo de productos, equipos y dispositivos médicos por semana.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Programa de memoria histórica frente a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Participación de las ciencias sociales en la mitigación de impactos, corresponsabilidad colectiva de los cuidados, participación de las personas y la comunidad, iniciativas innovadoras frente al asilamiento, uso ético y responsable de los medios de comunicación, denuncia de la campaña anticubana.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Realización de numerosas investigaciones, entre ellas: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a) Desarrollo de sistemas de información estadística y sitio web para la estandarización y visualización de la información (COVID19cubadata.github.io).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b) Desarrollo de sistemas de información geográfica y automatización de la araña epidemiológica.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c) Desarrollo de una aplicación para dispositivos móviles para la pesquisa activa y para encuestas epidemiológicas poblacionales.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d) Estimación de los parámetros epidemiológicos: número reproductivo básico (inicio de la epidemia) y efectivo (evaluación de intervenciones), fuerza de la infección.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e) Análisis de la diseminación de le enfermedad, distribución y riesgo de transmisión por provincias, municipios y áreas de salud, y su relación con factores de riesgo.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f) Predicciones de la epidemia COVID-19 analizando factores climáticos, temperatura y humedad relativa.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g) Modelación basada en redes para el seguimiento de contactos y la evaluación del control de la cadena epidemiológica de transmisión.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h) Evaluación del impacto de las medidas en la reducción de la movilidad de la población.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i) Evaluación del impacto de la introducción de los productos de la biotecnología en la reducción de la gravedad y mortalidad por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j) Desarrollo de modelos multinivel y de inteligencia artificial para la comparación del comportamiento de la epidemia en Cuba con otros países de la región y el mundo.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k) Estudio poblacional de portadores.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 Predicción del final de la epidemia y el comportamiento posepidémico.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m) Construcción de indicadores para el desescalada de las medidas.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n) Aplicación de Biomodulina-T en adultos mayores residentes en instituciones de cuidados a largo plazo.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ñ) Caracterización clínico-epidemiológica de las niñas, niños y adolescentes cubanos con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o) Programas de intervención en salud mental y apoyo psicológico ante la pandemia por la COVID-19.</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De todo lo descrito, resultan las valoraciones que siguen: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xml:space="preserve">- La ciencia cubana ha aportado significativamente al enfrentamiento con éxito y eficiencia de la COVID-19, facilitando con diversas investigaciones la predicción, el diseño de los modos de enfrentamiento, el perfeccionamiento de los protocolos terapéuticos, la gestión de enfrentamiento a la pandemia y </w:t>
      </w:r>
      <w:r>
        <w:rPr>
          <w:rFonts w:ascii="Arial" w:hAnsi="Arial" w:cs="Arial"/>
          <w:color w:val="333333"/>
          <w:sz w:val="25"/>
          <w:szCs w:val="25"/>
        </w:rPr>
        <w:lastRenderedPageBreak/>
        <w:t>el perfeccionamiento de los modelos de actuación para la reducción de riesgos y vulnerabilidades ante epidemias.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Se ha construido una base de conocimientos que ha devenido referente y apoyo a la gestión del gobierno en el enfrentamiento a la pandemia.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La movilización del conocimiento experto para enfrentar la pandemia incluyó como elemento muy importante el trabajo de todo el sistema de salud, en particular de los médicos, enfermeras y estudiantes que interactuaron cotidianamente con la población.</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Se desarrolló y aplicó un notable número de investigaciones y ensayos clínicos.</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Fonts w:ascii="Arial" w:hAnsi="Arial" w:cs="Arial"/>
          <w:color w:val="333333"/>
          <w:sz w:val="25"/>
          <w:szCs w:val="25"/>
        </w:rPr>
        <w:t>- Se lograron nuevos productos y desarrollos con los que no contaba el país, que además se convierten en futuros potenciales productivos en la industria nacional para sustituir importaciones y fomentar nuevas oportunidades de exportación.</w:t>
      </w:r>
      <w:r>
        <w:rPr>
          <w:rFonts w:ascii="Arial" w:hAnsi="Arial" w:cs="Arial"/>
          <w:color w:val="333333"/>
          <w:sz w:val="25"/>
          <w:szCs w:val="25"/>
        </w:rPr>
        <w:br/>
        <w:t>- Se generó una importante actividad científica que se expresa en 66 publicaciones de artículos por autores cubanos en revistas y otros medios nacionales (57) e internacionales (9). En proceso hay 21 nuevos artículos.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Los productos biotecnológicos cubanos aplicados evitaron considerablemente la muerte de pacientes críticos y graves, y se logró salvar al 80 % mientras en el mundo muere el 80 %.</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La ciencia cubana ha crecido, aportando valiosas soluciones en un momento de enorme complejidad, ha fortalecido sus vínculos con la sociedad, con los diversos actores económicos y sociales. Su participación y aporte han sido decisivos.</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Fonts w:ascii="Arial" w:hAnsi="Arial" w:cs="Arial"/>
          <w:color w:val="333333"/>
          <w:sz w:val="25"/>
          <w:szCs w:val="25"/>
        </w:rPr>
        <w:t>- Se ha confirmado el inestimable valor de hacer la ciencia desde una visión de pertinencia y responsabilidad social, cercana al concepto de ciencia de la sostenibilidad (19).</w:t>
      </w:r>
      <w:r>
        <w:rPr>
          <w:rFonts w:ascii="Arial" w:hAnsi="Arial" w:cs="Arial"/>
          <w:color w:val="333333"/>
          <w:sz w:val="25"/>
          <w:szCs w:val="25"/>
        </w:rPr>
        <w:br/>
        <w:t>- Se demuestra la importancia de consolidar las buenas prácticas y los mejores valores de nuestra sociedad en la implementación de la política científica en función de dar solución a los complejos problemas que enfrenta la sociedad.</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Estos avances y resultados "constituyen una muestra fehacientemente del aporte que está haciendo la ciencia cubana en este enfrentamiento" y muestran las potencialidades del trabajo multidisciplinario y la colaboración interinstitucional: "dan mucho ánimo, dan mucha fuerza y demuestran que existe también un enfoque integral de gestión de la ciencia y la innovación, porque participan todos los saberes científicos" (22).</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el enfrentamiento a la pandemia hemos logrado un resultado digno, dignísimo, y más en las condiciones en que lo ha hecho el país" (…) "el resultado científico que hemos alcanzado ha dado al país una visibilidad y un prestigio tremendo, como componente fundamental en el enfrentamiento". En particular es sobresaliente "el aporte de la biotecnología cubana en el combate contra la COVID-19, tanto con el anticuerpo monoclonal Anti-CD6, de Inmunología Molecular, como con el péptido CIGB-258, del Centro de Ingeniería Genética y Biotecnología".(23)</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El enfrentamiento a la COVID-19 trae consigo algunos aprendizajes que enriquecen experiencias futuras. Se ha confirmado la capacidad y la conveniencia de lograr una estrecha colaboración entre los científicos y el Gobierno.</w:t>
      </w:r>
    </w:p>
    <w:p w:rsidR="00E37B05" w:rsidRDefault="00E37B05" w:rsidP="00E37B05">
      <w:pPr>
        <w:pStyle w:val="Ttulo2"/>
        <w:shd w:val="clear" w:color="auto" w:fill="FFFFFF"/>
        <w:spacing w:before="153" w:beforeAutospacing="0" w:after="230" w:afterAutospacing="0" w:line="384" w:lineRule="atLeast"/>
        <w:rPr>
          <w:rFonts w:ascii="Arial" w:hAnsi="Arial" w:cs="Arial"/>
          <w:color w:val="CC0001"/>
          <w:sz w:val="34"/>
          <w:szCs w:val="34"/>
        </w:rPr>
      </w:pPr>
      <w:r>
        <w:rPr>
          <w:rFonts w:ascii="Arial" w:hAnsi="Arial" w:cs="Arial"/>
          <w:color w:val="CC0001"/>
          <w:sz w:val="34"/>
          <w:szCs w:val="34"/>
        </w:rPr>
        <w:t>CONCLUSIONES Y UNA MIRADA HACIA ADELANTE</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experiencia de enfrentamiento a la COVID-19 confirma las grandes oportunidades que ofrece la colaboración estrecha e interactiva entre los científicos y el Gobierno. Este es un tema de interés para todos los países. Se asume comúnmente que la formulación y evaluación de las políticas públicas debería siempre descansar en el conocimiento experto. Es complejo, sin embargo, lograrlo. No siempre es posible consolidar una comunicación fluida y mutuamente comprensible entre el mundo académico y los decisores políticos.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la primera parte de este artículo se identificaron varios de los problemas que el neoliberalismo ha generado. Contar con un proyecto social alternativo, socialista, ofrece a Cuba excelentes oportunidades para lograr que efectivamente la ciencia actúe como una fuerza social transformadora.</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lastRenderedPageBreak/>
        <w:t>La experiencia que se ha acumulado en la batalla contra la COVID-19 demuestra que en las condiciones de Cuba eso es posible y muy beneficioso para lograr objetivos compartidos. Esa colaboración se apoya en fundamentos éticos y políticos que la Revolución ha forjado.</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Se corrobora la pertinencia de considerar la innovación, la informatización y la comunicación social como pilares en la gestión del Gobierno cubano, lo cual ha propiciado soluciones innovadoras desde la ciencia, el desarrollo de aplicaciones informáticas orientadas al enfrentamiento de la pandemia y la realización de un ejercicio de comunicación social que ha ofrecido confianza y orientación a la población, a la vez que ha dignificado con apreciable reconocimiento social el aporte del personal de la salud y de los científicos.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La experiencia acumulada indica, además, que la colaboración entre el Gobierno y los científicos debe constituir un estilo de trabajo permanente. Debe facilitar el "profundo ejercicio de pensamiento innovador"(24) que el desarrollo del país demanda. El objetivo tiene que ser "llegar a la transformación productiva que necesita el país en estos momentos, que garantice procesos con más eficiencia, productividad, utilidad e ingresos, que satisfaga las demandas internas, que nos dé posibilidades de exportación y que además propicie bienestar, desarrollo y prosperidad".(24) En particular "si a algo tenemos que ponerle todo el pensamiento y llevarlo a una concepción distinta a lo que hemos venido haciendo, es a la producción de alimentos".(24)</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Se trata de aplicar con la mayor celeridad posible lo aprobado en el VI y VII Congresos del Partido, la adopción de los Lineamientos de la Política Económica y Social del Partido y la Revolución, y la Conceptualización del Modelo Económico y Social Cubano de Desarrollo Socialista, que concibió innovaciones trascendentales, pendientes de ser aplicadas.</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En ese esfuerzo, el asesoramiento científico, el protagonismo del conocimiento experto, es clave, y las experiencias que en este artículo se comentan constituyen un fundamento importante.</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Style w:val="Textoennegrita"/>
          <w:rFonts w:ascii="Arial" w:hAnsi="Arial" w:cs="Arial"/>
          <w:color w:val="333333"/>
          <w:sz w:val="25"/>
          <w:szCs w:val="25"/>
        </w:rPr>
        <w:t>Referencias Bibliográficas</w:t>
      </w:r>
    </w:p>
    <w:p w:rsidR="00E37B05" w:rsidRDefault="00E37B05" w:rsidP="00E37B05">
      <w:pPr>
        <w:pStyle w:val="Ttulo5"/>
        <w:shd w:val="clear" w:color="auto" w:fill="FFFFFF"/>
        <w:spacing w:before="0"/>
        <w:rPr>
          <w:rFonts w:ascii="Arial" w:hAnsi="Arial" w:cs="Arial"/>
          <w:color w:val="333333"/>
          <w:sz w:val="20"/>
          <w:szCs w:val="20"/>
        </w:rPr>
      </w:pPr>
      <w:r>
        <w:rPr>
          <w:rFonts w:ascii="Arial" w:hAnsi="Arial" w:cs="Arial"/>
          <w:color w:val="333333"/>
        </w:rPr>
        <w:lastRenderedPageBreak/>
        <w:t>1. Beck U. La sociedad del riesgo. Editorial Paidós; 1998, 432 pp.</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2. Díaz-Canel M. Discurso pronunciado en la Cumbre Virtual del Movimiento de Países No Alineados "Unidos contra la COVID-19", en el formato del Grupo de Contacto. 4 de mayo de 2020.</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3. Mazzucato M. El Estado emprendedor: mitos del sector público frente al privado. Barcelona: RBA Economía; 2019. ISBN: 978-84-9056-296-3</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4. Restakis R. Las implicaciones socio-económicas de una Economía Social del Conocimiento. 2014. Disponible en: https://book.floksociety.org/ec/3-1-institucionalidad-sociedad-del-conoc...</w:t>
      </w:r>
    </w:p>
    <w:p w:rsidR="00E37B05" w:rsidRPr="00E37B05" w:rsidRDefault="00E37B05" w:rsidP="00E37B05">
      <w:pPr>
        <w:pStyle w:val="Ttulo5"/>
        <w:shd w:val="clear" w:color="auto" w:fill="FFFFFF"/>
        <w:spacing w:before="0"/>
        <w:rPr>
          <w:rFonts w:ascii="Arial" w:hAnsi="Arial" w:cs="Arial"/>
          <w:color w:val="333333"/>
          <w:lang w:val="en-US"/>
        </w:rPr>
      </w:pPr>
      <w:r w:rsidRPr="00E37B05">
        <w:rPr>
          <w:rFonts w:ascii="Arial" w:hAnsi="Arial" w:cs="Arial"/>
          <w:color w:val="333333"/>
          <w:lang w:val="en-US"/>
        </w:rPr>
        <w:t>5. Etzkowitz H. MIT and the Rise of Entrepreneurial Science. London: Routledge; 2001.</w:t>
      </w:r>
    </w:p>
    <w:p w:rsidR="00E37B05" w:rsidRDefault="00E37B05" w:rsidP="00E37B05">
      <w:pPr>
        <w:pStyle w:val="Ttulo5"/>
        <w:shd w:val="clear" w:color="auto" w:fill="FFFFFF"/>
        <w:spacing w:before="0"/>
        <w:rPr>
          <w:rFonts w:ascii="Arial" w:hAnsi="Arial" w:cs="Arial"/>
          <w:color w:val="333333"/>
        </w:rPr>
      </w:pPr>
      <w:r w:rsidRPr="00E37B05">
        <w:rPr>
          <w:rFonts w:ascii="Arial" w:hAnsi="Arial" w:cs="Arial"/>
          <w:color w:val="333333"/>
          <w:lang w:val="en-US"/>
        </w:rPr>
        <w:t xml:space="preserve">6. Etzkowitz H. Research Groups as 'Quasi-Firms': The Invention of the Entrepreneurial University Research Policy. </w:t>
      </w:r>
      <w:r>
        <w:rPr>
          <w:rFonts w:ascii="Arial" w:hAnsi="Arial" w:cs="Arial"/>
          <w:color w:val="333333"/>
        </w:rPr>
        <w:t>2003; 32(1):109-121.</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7. Merton RK. Los imperativos institucionales de la ciencia, en Barnes, B (compilador): Estudios sobre sociología de la ciencia. Madrid: Alianza Universidad; 1980.</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8. UNESCO. Informe de la UNESCO sobre la Ciencia. 2015. [Consultado 2.06.2020]. Diponible en: https://es.unesco.org/unesco_science_report .</w:t>
      </w:r>
    </w:p>
    <w:p w:rsidR="00E37B05" w:rsidRDefault="00E37B05" w:rsidP="00E37B05">
      <w:pPr>
        <w:pStyle w:val="Ttulo5"/>
        <w:shd w:val="clear" w:color="auto" w:fill="FFFFFF"/>
        <w:spacing w:before="0"/>
        <w:rPr>
          <w:rFonts w:ascii="Arial" w:hAnsi="Arial" w:cs="Arial"/>
          <w:color w:val="333333"/>
        </w:rPr>
      </w:pPr>
      <w:r w:rsidRPr="00E37B05">
        <w:rPr>
          <w:rFonts w:ascii="Arial" w:hAnsi="Arial" w:cs="Arial"/>
          <w:color w:val="333333"/>
          <w:lang w:val="en-US"/>
        </w:rPr>
        <w:t xml:space="preserve">9. Bush V. Science-The endless frontier. </w:t>
      </w:r>
      <w:r>
        <w:rPr>
          <w:rFonts w:ascii="Arial" w:hAnsi="Arial" w:cs="Arial"/>
          <w:color w:val="333333"/>
        </w:rPr>
        <w:t>Washington: National Science Foundation; 1945.</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10. Sábato J, Botana N. La ciencia y la tecnología en el desarrollo de América Latina. En: América Latina, Ciencia y tecnología en el desarrollo de las sociedades. Chile: Editorial Universidad; 1970.</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11. Núñez J. Conocimiento académico y sociedad. Ensayos sobre política universitaria y posgrado. La Habana: Editorial UH; 2010, 222 pp. ISBN 978-959-7211-04-4.</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12. Documentos del 7mo. Congreso del Partido aprobados por el III Pleno del Comité Central del PCC el 18 de mayo de 2017 y respaldados por la Asamblea Nacional del Poder Popular el 1 de junio de 2017 (I). [Consultado el 1 de junio 2020]. Disponibles en: http://www.granma.cu/file/pdf/gaceta/%C3%BAltimo%20PDF%2032.pdf</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13. Constitución de la República de Cuba. [Consultado el 1 de junio 2020]. Disponible en: http://www.granma.cu/file/pdf/gaceta/Nueva%20Constituci%C3%B3n%20240%20K...</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14. Decreto No. 363/2019 (GOC-2019-998-O86): De los Parques Científicos y Tecnológicos y de las Empresas de Ciencia y Tecnología que funcionan como interface entre las universidades y entidades de ciencia, tecnología e innovación con las entidades productivas y de servicios. 2019</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15. Decreto No. 2/2020 (GOC-2020-156-O16): De las Empresas de Alta Tecnología. 2020.</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16. Decreto-Ley No. 7: Del Sistema de Ciencia, Tecnología e Innovación. 2020.</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17. Resolución 286/2019 (GOC-2019-999-O86): Reglamento para la organización y funcionamiento del registro nacional de entidades de ciencia, tecnología e innovación. 2019.</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18. Resolución 287/2019 (GOC-2019-1000-86): Reglamento para el sistema de programas y proyectos de ciencia, tecnología e innovación. 2019.</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19. Núñez J. Pensar la ciencia en tiempos de la COVID-19. Anales de la Academia de Ciencias de Cuba. 2020;10(2): COVID-19 [monográfico]. Disponible en: http://www.revistaccuba.sld.cu/index.php/revacc/article/view/797/827</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20. MINSAP. Anuario Estadístico de Salud. Información al 31 de diciembre del 2019. ISNN. Versión electrónica: 1561-4433. 2020. Disponible en: http://files.sld.cu/bvscuba/files/2020/05/Anuario-Electr%C3%B3nico-Espa%...</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lastRenderedPageBreak/>
        <w:t>21. Castro F. Discurso pronunciado en la clausura del VI Congreso de los CDR, en el teatro "Karl Marx". [consultado el 2 de junio de 2020]. 28 de septiembre de 2003. Disponible en: http://www.fidelcastro.cu/es/citas-sobre/CienciayTécnica</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22. Díaz-Canel M. Los resultados de la ciencia cubana nos enaltecen. 2020. [consultado el 2 de junio de 2020] Disponible en: https://www.presidencia.gob.cu/es/noticias/los-resultados-de-la-ciencia-...</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23. Díaz-Canel M. La respuesta de Cuba a la pandemia ha sido muy digna. 2020. [consultado el 2 de junio de 2020] Disponible en: https://www.presidencia.gob.cu/es/noticias/la-respuesta-de-cuba-a-la-pan...</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24. Díaz-Canel M. Por un ejercicio de pensamiento que transforme al país. 2020. [consultado el 2 de junio de 2020] Disponible en: https://www.presidencia.gob.cu/es/noticias/por-un-ejercicio-de-pensamien...</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[i] En 1966 el CNIC pasó a integrar la Universidad de La Habana. En la actualidad forma parte del Grupo de las Industrias Biotecnológicas y Farmacéuticas de Cuba (BioCubaFarma).</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[ii] Forma parte de la estructura del Grupo de Ciencia. Evalúa y aprueba las propuestas de productos en investigación, innovación y desarrollo, los protocolos terapéuticos y los ensayos clínicos, y agiliza los trámites de aprobación en temas regulatorios. Es coordinado por los directores de Ciencia e Innovación del MINSAP y BioCubaFarma y los directores del Centro Estatal de Medicamentos, Equipos y Dispositivos Médicos (CEDMED) y el Centro Nacional Coordinador de Ensayos Clínicos (CENCEC).</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[iii] Coordina las acciones investigativas y de seguimiento del protocolo de manejo clínico. Evalúa y aprueba las investigaciones, intervenciones, ensayos clínicos y las aplicaciones con impacto en las medidas del plan de enfrentamiento. Lo integran el comité de innovación, grupos de expertos y el Observatorio de Ciencia para la COVID-19.</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[iv] http://www.cubadebate.cu/noticias/2020/05/29/cuba-no-relaja-medidas-ni-s...</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[v] Agencia Cubana de Noticias. Los 28 mil colaboradores de salud en el exterior: sanos y capacitados ante la COVID-19. Claudia González Corrales, 17 marzo 2020. http://www.acn.cu/salud/62198-los-28-mil-colaboradores-de-salud-en-el-ex...</w:t>
      </w:r>
    </w:p>
    <w:p w:rsidR="00E37B05" w:rsidRDefault="00E37B05" w:rsidP="00E37B05">
      <w:pPr>
        <w:pStyle w:val="Ttulo5"/>
        <w:shd w:val="clear" w:color="auto" w:fill="FFFFFF"/>
        <w:spacing w:before="0"/>
        <w:rPr>
          <w:rFonts w:ascii="Arial" w:hAnsi="Arial" w:cs="Arial"/>
          <w:color w:val="333333"/>
        </w:rPr>
      </w:pPr>
      <w:r>
        <w:rPr>
          <w:rFonts w:ascii="Arial" w:hAnsi="Arial" w:cs="Arial"/>
          <w:color w:val="333333"/>
        </w:rPr>
        <w:t>[vi] No en todos los países se ha logrado la estrecha relación entre gobierno y científicos que se ha alcanzado en Cuba: "Pero también valdrá la pena abordar algunas de las lecciones que tan dura experiencia nos ha dejado. Una que parece importante será analizar ¿por qué el divorcio entre ciencia, científicos y gobiernos? Como afirma Ignacio Ramonet, no se les escuchó, a pesar de señalar la inminencia de una enfermedad respiratoria altamente transmisible y virulenta que podría convertirse en pandemia tampoco los avisos repetidos de la Organización Mundial de la Salud (OMS) quien urgía en septiembre de 2019 sobre una pandemia fulminante y sumamente mortífera" (Aragonés A, 2020).</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w:t>
      </w:r>
    </w:p>
    <w:p w:rsidR="00E37B05" w:rsidRDefault="00E37B05" w:rsidP="00E37B05">
      <w:pPr>
        <w:pStyle w:val="NormalWeb"/>
        <w:shd w:val="clear" w:color="auto" w:fill="FFFFFF"/>
        <w:spacing w:before="0" w:beforeAutospacing="0" w:after="230" w:afterAutospacing="0" w:line="384" w:lineRule="atLeast"/>
        <w:rPr>
          <w:rFonts w:ascii="Arial" w:hAnsi="Arial" w:cs="Arial"/>
          <w:color w:val="333333"/>
          <w:sz w:val="25"/>
          <w:szCs w:val="25"/>
        </w:rPr>
      </w:pPr>
      <w:r>
        <w:rPr>
          <w:rFonts w:ascii="Arial" w:hAnsi="Arial" w:cs="Arial"/>
          <w:color w:val="333333"/>
          <w:sz w:val="25"/>
          <w:szCs w:val="25"/>
        </w:rPr>
        <w:t> </w:t>
      </w:r>
    </w:p>
    <w:p w:rsidR="00E37B05" w:rsidRDefault="00E37B05" w:rsidP="00E37B05">
      <w:pPr>
        <w:pStyle w:val="NormalWeb"/>
        <w:shd w:val="clear" w:color="auto" w:fill="FFFFFF"/>
        <w:spacing w:before="0" w:beforeAutospacing="0" w:after="0" w:afterAutospacing="0" w:line="384" w:lineRule="atLeast"/>
        <w:rPr>
          <w:rFonts w:ascii="Arial" w:hAnsi="Arial" w:cs="Arial"/>
          <w:color w:val="333333"/>
          <w:sz w:val="25"/>
          <w:szCs w:val="25"/>
        </w:rPr>
      </w:pPr>
      <w:r>
        <w:rPr>
          <w:rFonts w:ascii="Arial" w:hAnsi="Arial" w:cs="Arial"/>
          <w:color w:val="333333"/>
          <w:sz w:val="25"/>
          <w:szCs w:val="25"/>
        </w:rPr>
        <w:t>Para consultar artículo original: </w:t>
      </w:r>
      <w:hyperlink r:id="rId5" w:tgtFrame="_blank" w:history="1">
        <w:r>
          <w:rPr>
            <w:rStyle w:val="Hipervnculo"/>
            <w:rFonts w:ascii="Arial" w:hAnsi="Arial" w:cs="Arial"/>
            <w:b/>
            <w:bCs/>
            <w:color w:val="333333"/>
            <w:sz w:val="25"/>
            <w:szCs w:val="25"/>
          </w:rPr>
          <w:t>Revista Anales</w:t>
        </w:r>
      </w:hyperlink>
      <w:r>
        <w:rPr>
          <w:rFonts w:ascii="Arial" w:hAnsi="Arial" w:cs="Arial"/>
          <w:color w:val="333333"/>
          <w:sz w:val="25"/>
          <w:szCs w:val="25"/>
        </w:rPr>
        <w:t>.</w:t>
      </w:r>
    </w:p>
    <w:p w:rsidR="00E37B05" w:rsidRDefault="00E37B05"/>
    <w:p w:rsidR="00E37B05" w:rsidRPr="00E37B05" w:rsidRDefault="00E37B05">
      <w:pPr>
        <w:rPr>
          <w:b/>
        </w:rPr>
      </w:pPr>
      <w:hyperlink r:id="rId6" w:history="1">
        <w:r w:rsidRPr="00E37B05">
          <w:rPr>
            <w:rStyle w:val="Hipervnculo"/>
            <w:b/>
            <w:color w:val="auto"/>
          </w:rPr>
          <w:t>http://www.cubadebate.cu/noticias/2020/06/14/presidente-cubano-publica-articulo-junto-a-reconocido-cientifico-sobre-gestion-gubernamental-y-la-ciencia-frente-a-la-covid-19-articulo/</w:t>
        </w:r>
      </w:hyperlink>
    </w:p>
    <w:sectPr w:rsidR="00E37B05" w:rsidRPr="00E37B05" w:rsidSect="001013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E37B05"/>
    <w:rsid w:val="000A4FAE"/>
    <w:rsid w:val="001013CE"/>
    <w:rsid w:val="00956BB4"/>
    <w:rsid w:val="00E37B0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CE"/>
    <w:pPr>
      <w:spacing w:after="200" w:line="276" w:lineRule="auto"/>
    </w:pPr>
    <w:rPr>
      <w:sz w:val="22"/>
      <w:szCs w:val="22"/>
      <w:lang w:eastAsia="en-US"/>
    </w:rPr>
  </w:style>
  <w:style w:type="paragraph" w:styleId="Ttulo2">
    <w:name w:val="heading 2"/>
    <w:basedOn w:val="Normal"/>
    <w:link w:val="Ttulo2Car"/>
    <w:uiPriority w:val="9"/>
    <w:qFormat/>
    <w:rsid w:val="00E37B05"/>
    <w:pPr>
      <w:spacing w:before="100" w:beforeAutospacing="1" w:after="100" w:afterAutospacing="1" w:line="240" w:lineRule="auto"/>
      <w:outlineLvl w:val="1"/>
    </w:pPr>
    <w:rPr>
      <w:rFonts w:ascii="Times New Roman" w:eastAsia="Times New Roman" w:hAnsi="Times New Roman"/>
      <w:b/>
      <w:bCs/>
      <w:sz w:val="36"/>
      <w:szCs w:val="36"/>
      <w:lang w:eastAsia="es-ES"/>
    </w:rPr>
  </w:style>
  <w:style w:type="paragraph" w:styleId="Ttulo3">
    <w:name w:val="heading 3"/>
    <w:basedOn w:val="Normal"/>
    <w:next w:val="Normal"/>
    <w:link w:val="Ttulo3Car"/>
    <w:uiPriority w:val="9"/>
    <w:semiHidden/>
    <w:unhideWhenUsed/>
    <w:qFormat/>
    <w:rsid w:val="00E37B05"/>
    <w:pPr>
      <w:keepNext/>
      <w:keepLines/>
      <w:spacing w:before="200" w:after="0"/>
      <w:outlineLvl w:val="2"/>
    </w:pPr>
    <w:rPr>
      <w:rFonts w:ascii="Cambria" w:eastAsia="Times New Roman" w:hAnsi="Cambria"/>
      <w:b/>
      <w:bCs/>
      <w:color w:val="4F81BD"/>
    </w:rPr>
  </w:style>
  <w:style w:type="paragraph" w:styleId="Ttulo5">
    <w:name w:val="heading 5"/>
    <w:basedOn w:val="Normal"/>
    <w:next w:val="Normal"/>
    <w:link w:val="Ttulo5Car"/>
    <w:uiPriority w:val="9"/>
    <w:semiHidden/>
    <w:unhideWhenUsed/>
    <w:qFormat/>
    <w:rsid w:val="00E37B05"/>
    <w:pPr>
      <w:keepNext/>
      <w:keepLines/>
      <w:spacing w:before="200" w:after="0"/>
      <w:outlineLvl w:val="4"/>
    </w:pPr>
    <w:rPr>
      <w:rFonts w:ascii="Cambria" w:eastAsia="Times New Roman"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7B05"/>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E37B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B05"/>
    <w:rPr>
      <w:rFonts w:ascii="Tahoma" w:hAnsi="Tahoma" w:cs="Tahoma"/>
      <w:sz w:val="16"/>
      <w:szCs w:val="16"/>
    </w:rPr>
  </w:style>
  <w:style w:type="character" w:customStyle="1" w:styleId="Ttulo3Car">
    <w:name w:val="Título 3 Car"/>
    <w:basedOn w:val="Fuentedeprrafopredeter"/>
    <w:link w:val="Ttulo3"/>
    <w:uiPriority w:val="9"/>
    <w:semiHidden/>
    <w:rsid w:val="00E37B05"/>
    <w:rPr>
      <w:rFonts w:ascii="Cambria" w:eastAsia="Times New Roman" w:hAnsi="Cambria" w:cs="Times New Roman"/>
      <w:b/>
      <w:bCs/>
      <w:color w:val="4F81BD"/>
    </w:rPr>
  </w:style>
  <w:style w:type="character" w:customStyle="1" w:styleId="Ttulo5Car">
    <w:name w:val="Título 5 Car"/>
    <w:basedOn w:val="Fuentedeprrafopredeter"/>
    <w:link w:val="Ttulo5"/>
    <w:uiPriority w:val="9"/>
    <w:semiHidden/>
    <w:rsid w:val="00E37B05"/>
    <w:rPr>
      <w:rFonts w:ascii="Cambria" w:eastAsia="Times New Roman" w:hAnsi="Cambria" w:cs="Times New Roman"/>
      <w:color w:val="243F60"/>
    </w:rPr>
  </w:style>
  <w:style w:type="paragraph" w:customStyle="1" w:styleId="wp-caption-text">
    <w:name w:val="wp-caption-text"/>
    <w:basedOn w:val="Normal"/>
    <w:rsid w:val="00E37B05"/>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E37B05"/>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rsid w:val="00E37B05"/>
    <w:rPr>
      <w:i/>
      <w:iCs/>
    </w:rPr>
  </w:style>
  <w:style w:type="character" w:styleId="Textoennegrita">
    <w:name w:val="Strong"/>
    <w:basedOn w:val="Fuentedeprrafopredeter"/>
    <w:uiPriority w:val="22"/>
    <w:qFormat/>
    <w:rsid w:val="00E37B05"/>
    <w:rPr>
      <w:b/>
      <w:bCs/>
    </w:rPr>
  </w:style>
  <w:style w:type="character" w:styleId="Hipervnculo">
    <w:name w:val="Hyperlink"/>
    <w:basedOn w:val="Fuentedeprrafopredeter"/>
    <w:uiPriority w:val="99"/>
    <w:semiHidden/>
    <w:unhideWhenUsed/>
    <w:rsid w:val="00E37B05"/>
    <w:rPr>
      <w:color w:val="0000FF"/>
      <w:u w:val="single"/>
    </w:rPr>
  </w:style>
</w:styles>
</file>

<file path=word/webSettings.xml><?xml version="1.0" encoding="utf-8"?>
<w:webSettings xmlns:r="http://schemas.openxmlformats.org/officeDocument/2006/relationships" xmlns:w="http://schemas.openxmlformats.org/wordprocessingml/2006/main">
  <w:divs>
    <w:div w:id="692657064">
      <w:bodyDiv w:val="1"/>
      <w:marLeft w:val="0"/>
      <w:marRight w:val="0"/>
      <w:marTop w:val="0"/>
      <w:marBottom w:val="0"/>
      <w:divBdr>
        <w:top w:val="none" w:sz="0" w:space="0" w:color="auto"/>
        <w:left w:val="none" w:sz="0" w:space="0" w:color="auto"/>
        <w:bottom w:val="none" w:sz="0" w:space="0" w:color="auto"/>
        <w:right w:val="none" w:sz="0" w:space="0" w:color="auto"/>
      </w:divBdr>
    </w:div>
    <w:div w:id="7778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noticias/2020/06/14/presidente-cubano-publica-articulo-junto-a-reconocido-cientifico-sobre-gestion-gubernamental-y-la-ciencia-frente-a-la-covid-19-articulo/" TargetMode="External"/><Relationship Id="rId5" Type="http://schemas.openxmlformats.org/officeDocument/2006/relationships/hyperlink" Target="http://www.revistaccuba.cu/index.php/revacc/article/view/881/886?fbclid=IwAR22BooH1JHi7RaomecsDiqw8tcTWGvOuu_LUqkQhDcRddwT68nYdTG2oI4"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7609</Words>
  <Characters>41852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49363</CharactersWithSpaces>
  <SharedDoc>false</SharedDoc>
  <HLinks>
    <vt:vector size="12" baseType="variant">
      <vt:variant>
        <vt:i4>5308441</vt:i4>
      </vt:variant>
      <vt:variant>
        <vt:i4>3</vt:i4>
      </vt:variant>
      <vt:variant>
        <vt:i4>0</vt:i4>
      </vt:variant>
      <vt:variant>
        <vt:i4>5</vt:i4>
      </vt:variant>
      <vt:variant>
        <vt:lpwstr>http://www.cubadebate.cu/noticias/2020/06/14/presidente-cubano-publica-articulo-junto-a-reconocido-cientifico-sobre-gestion-gubernamental-y-la-ciencia-frente-a-la-covid-19-articulo/</vt:lpwstr>
      </vt:variant>
      <vt:variant>
        <vt:lpwstr/>
      </vt:variant>
      <vt:variant>
        <vt:i4>1376290</vt:i4>
      </vt:variant>
      <vt:variant>
        <vt:i4>0</vt:i4>
      </vt:variant>
      <vt:variant>
        <vt:i4>0</vt:i4>
      </vt:variant>
      <vt:variant>
        <vt:i4>5</vt:i4>
      </vt:variant>
      <vt:variant>
        <vt:lpwstr>http://www.revistaccuba.cu/index.php/revacc/article/view/881/886?fbclid=IwAR22BooH1JHi7RaomecsDiqw8tcTWGvOuu_LUqkQhDcRddwT68nYdTG2oI4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centauroimagen1@outlook.es</cp:lastModifiedBy>
  <cp:revision>2</cp:revision>
  <dcterms:created xsi:type="dcterms:W3CDTF">2020-06-16T18:11:00Z</dcterms:created>
  <dcterms:modified xsi:type="dcterms:W3CDTF">2020-06-16T18:11:00Z</dcterms:modified>
</cp:coreProperties>
</file>